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27EA6" w14:textId="77777777" w:rsidR="008F4243" w:rsidRDefault="008F4243" w:rsidP="008F4243">
      <w:pPr>
        <w:jc w:val="right"/>
      </w:pPr>
    </w:p>
    <w:p w14:paraId="4A415C2E" w14:textId="77777777" w:rsidR="008F4243" w:rsidRDefault="008F4243" w:rsidP="008F4243"/>
    <w:p w14:paraId="487A1B31" w14:textId="77777777" w:rsidR="008F4243" w:rsidRDefault="008F4243" w:rsidP="008F4243"/>
    <w:p w14:paraId="0F71EF69" w14:textId="77777777" w:rsidR="008F4243" w:rsidRDefault="008F4243" w:rsidP="008F4243">
      <w:pPr>
        <w:rPr>
          <w:rFonts w:ascii="Verdana" w:hAnsi="Verdana"/>
          <w:sz w:val="72"/>
          <w:szCs w:val="72"/>
        </w:rPr>
      </w:pPr>
    </w:p>
    <w:sdt>
      <w:sdtPr>
        <w:rPr>
          <w:color w:val="0070C0"/>
          <w:sz w:val="60"/>
          <w:szCs w:val="60"/>
        </w:rPr>
        <w:alias w:val="Tittel"/>
        <w:tag w:val=""/>
        <w:id w:val="-1789504439"/>
        <w:placeholder>
          <w:docPart w:val="9809D6A79A504C0F9C040150749469A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FA42FF" w14:textId="1EDC329C" w:rsidR="008F4243" w:rsidRPr="001122E5" w:rsidRDefault="00230E8F" w:rsidP="008F4243">
          <w:pPr>
            <w:pStyle w:val="Tittel"/>
            <w:rPr>
              <w:color w:val="0070C0"/>
              <w:sz w:val="60"/>
              <w:szCs w:val="60"/>
            </w:rPr>
          </w:pPr>
          <w:r>
            <w:rPr>
              <w:color w:val="0070C0"/>
              <w:sz w:val="60"/>
              <w:szCs w:val="60"/>
            </w:rPr>
            <w:t>Forskrift – godtgjørelse ved kommunale ombuds- og tillitsverv.</w:t>
          </w:r>
        </w:p>
      </w:sdtContent>
    </w:sdt>
    <w:p w14:paraId="3BE8FECA" w14:textId="1200B607" w:rsidR="008F4243" w:rsidRPr="001122E5" w:rsidRDefault="00CA0FA6" w:rsidP="008F4243">
      <w:pPr>
        <w:pStyle w:val="Undertittel"/>
        <w:rPr>
          <w:color w:val="0070C0"/>
        </w:rPr>
      </w:pPr>
      <w:r w:rsidRPr="001122E5">
        <w:rPr>
          <w:color w:val="0070C0"/>
        </w:rPr>
        <w:t xml:space="preserve">Vedtatt </w:t>
      </w:r>
      <w:r w:rsidR="008E3910" w:rsidRPr="001122E5">
        <w:rPr>
          <w:color w:val="0070C0"/>
        </w:rPr>
        <w:t xml:space="preserve">av </w:t>
      </w:r>
      <w:r w:rsidRPr="001122E5">
        <w:rPr>
          <w:color w:val="0070C0"/>
        </w:rPr>
        <w:t>kommunestyre</w:t>
      </w:r>
      <w:r w:rsidR="008E3910" w:rsidRPr="001122E5">
        <w:rPr>
          <w:color w:val="0070C0"/>
        </w:rPr>
        <w:t>t</w:t>
      </w:r>
      <w:r w:rsidRPr="001122E5">
        <w:rPr>
          <w:color w:val="0070C0"/>
        </w:rPr>
        <w:t xml:space="preserve"> </w:t>
      </w:r>
      <w:r w:rsidR="00230E8F">
        <w:rPr>
          <w:color w:val="0070C0"/>
        </w:rPr>
        <w:t>13.11.2019</w:t>
      </w:r>
    </w:p>
    <w:p w14:paraId="7483502A" w14:textId="77777777" w:rsidR="008F4243" w:rsidRDefault="008F4243" w:rsidP="008F4243">
      <w:pPr>
        <w:rPr>
          <w:noProof/>
        </w:rPr>
      </w:pPr>
    </w:p>
    <w:p w14:paraId="6CA751B8" w14:textId="77777777" w:rsidR="008F4243" w:rsidRDefault="008F4243" w:rsidP="008F4243">
      <w:pPr>
        <w:rPr>
          <w:noProof/>
        </w:rPr>
      </w:pPr>
    </w:p>
    <w:p w14:paraId="69F6E06D" w14:textId="77777777" w:rsidR="008F4243" w:rsidRDefault="008F4243" w:rsidP="008F4243">
      <w:pPr>
        <w:rPr>
          <w:noProof/>
        </w:rPr>
      </w:pPr>
    </w:p>
    <w:p w14:paraId="3F0C94AF" w14:textId="77777777" w:rsidR="008F4243" w:rsidRDefault="008F4243" w:rsidP="008F4243">
      <w:pPr>
        <w:rPr>
          <w:noProof/>
        </w:rPr>
      </w:pPr>
    </w:p>
    <w:p w14:paraId="60B0C44E" w14:textId="77777777" w:rsidR="008F4243" w:rsidRDefault="008F4243" w:rsidP="008F4243">
      <w:pPr>
        <w:rPr>
          <w:noProof/>
        </w:rPr>
      </w:pPr>
    </w:p>
    <w:sdt>
      <w:sdtPr>
        <w:rPr>
          <w:rFonts w:ascii="Times New Roman" w:eastAsiaTheme="minorHAnsi" w:hAnsi="Times New Roman" w:cs="Times New Roman"/>
          <w:bCs w:val="0"/>
          <w:color w:val="auto"/>
          <w:spacing w:val="0"/>
          <w:sz w:val="20"/>
          <w:szCs w:val="20"/>
        </w:rPr>
        <w:id w:val="8710343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867D028" w14:textId="77777777" w:rsidR="00FC0EAE" w:rsidRPr="00146172" w:rsidRDefault="00FC0EAE">
          <w:pPr>
            <w:pStyle w:val="Overskriftforinnholdsfortegnelse"/>
            <w:rPr>
              <w:rFonts w:eastAsiaTheme="minorHAnsi" w:cs="Times New Roman"/>
              <w:bCs w:val="0"/>
              <w:color w:val="auto"/>
              <w:spacing w:val="0"/>
              <w:sz w:val="20"/>
              <w:szCs w:val="20"/>
            </w:rPr>
          </w:pPr>
        </w:p>
        <w:p w14:paraId="41A976FB" w14:textId="77777777" w:rsidR="00FC0EAE" w:rsidRPr="00146172" w:rsidRDefault="00FC0EAE">
          <w:pPr>
            <w:spacing w:after="200" w:line="276" w:lineRule="auto"/>
            <w:rPr>
              <w:rFonts w:ascii="Verdana" w:hAnsi="Verdana"/>
              <w:sz w:val="20"/>
              <w:szCs w:val="20"/>
            </w:rPr>
          </w:pPr>
          <w:r w:rsidRPr="00146172">
            <w:rPr>
              <w:rFonts w:ascii="Verdana" w:hAnsi="Verdana"/>
              <w:bCs/>
              <w:sz w:val="20"/>
              <w:szCs w:val="20"/>
            </w:rPr>
            <w:br w:type="page"/>
          </w:r>
        </w:p>
        <w:p w14:paraId="1D465D1E" w14:textId="77777777" w:rsidR="009D555B" w:rsidRPr="0026686D" w:rsidRDefault="009D555B" w:rsidP="00F942BE">
          <w:pPr>
            <w:pStyle w:val="Overskriftforinnholdsfortegnelse"/>
            <w:spacing w:before="120" w:line="240" w:lineRule="auto"/>
            <w:rPr>
              <w:b/>
              <w:bCs w:val="0"/>
              <w:color w:val="0070C0"/>
              <w:sz w:val="28"/>
            </w:rPr>
          </w:pPr>
          <w:r w:rsidRPr="0026686D">
            <w:rPr>
              <w:b/>
              <w:bCs w:val="0"/>
              <w:color w:val="0070C0"/>
              <w:sz w:val="28"/>
            </w:rPr>
            <w:lastRenderedPageBreak/>
            <w:t>Innholdsfortegnelse</w:t>
          </w:r>
        </w:p>
        <w:p w14:paraId="44A79D2B" w14:textId="1A7BD3A5" w:rsidR="00E76116" w:rsidRDefault="009D555B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146172">
            <w:rPr>
              <w:sz w:val="20"/>
              <w:szCs w:val="20"/>
            </w:rPr>
            <w:fldChar w:fldCharType="begin"/>
          </w:r>
          <w:r w:rsidRPr="00146172">
            <w:rPr>
              <w:sz w:val="20"/>
              <w:szCs w:val="20"/>
            </w:rPr>
            <w:instrText xml:space="preserve"> TOC \o "1-3" \h \z \u </w:instrText>
          </w:r>
          <w:r w:rsidRPr="00146172">
            <w:rPr>
              <w:sz w:val="20"/>
              <w:szCs w:val="20"/>
            </w:rPr>
            <w:fldChar w:fldCharType="separate"/>
          </w:r>
          <w:hyperlink w:anchor="_Toc23924477" w:history="1">
            <w:r w:rsidR="00E76116" w:rsidRPr="0058792B">
              <w:rPr>
                <w:rStyle w:val="Hyperkobling"/>
              </w:rPr>
              <w:t>1</w:t>
            </w:r>
            <w:r w:rsidR="00E76116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E76116" w:rsidRPr="0058792B">
              <w:rPr>
                <w:rStyle w:val="Hyperkobling"/>
              </w:rPr>
              <w:t>Forskriftens virkeområde og målsetting:</w:t>
            </w:r>
            <w:r w:rsidR="00E76116">
              <w:rPr>
                <w:webHidden/>
              </w:rPr>
              <w:tab/>
            </w:r>
            <w:r w:rsidR="00E76116">
              <w:rPr>
                <w:webHidden/>
              </w:rPr>
              <w:fldChar w:fldCharType="begin"/>
            </w:r>
            <w:r w:rsidR="00E76116">
              <w:rPr>
                <w:webHidden/>
              </w:rPr>
              <w:instrText xml:space="preserve"> PAGEREF _Toc23924477 \h </w:instrText>
            </w:r>
            <w:r w:rsidR="00E76116">
              <w:rPr>
                <w:webHidden/>
              </w:rPr>
            </w:r>
            <w:r w:rsidR="00E76116">
              <w:rPr>
                <w:webHidden/>
              </w:rPr>
              <w:fldChar w:fldCharType="separate"/>
            </w:r>
            <w:r w:rsidR="00E76116">
              <w:rPr>
                <w:webHidden/>
              </w:rPr>
              <w:t>3</w:t>
            </w:r>
            <w:r w:rsidR="00E76116">
              <w:rPr>
                <w:webHidden/>
              </w:rPr>
              <w:fldChar w:fldCharType="end"/>
            </w:r>
          </w:hyperlink>
        </w:p>
        <w:p w14:paraId="6D454266" w14:textId="247496DE" w:rsidR="00E76116" w:rsidRDefault="00E76116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3924478" w:history="1">
            <w:r w:rsidRPr="0058792B">
              <w:rPr>
                <w:rStyle w:val="Hyperkobling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Pr="0058792B">
              <w:rPr>
                <w:rStyle w:val="Hyperkobling"/>
              </w:rPr>
              <w:t>Type godtgjørelse som ytes: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_Toc23924478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51143B6" w14:textId="4BE3DDAE" w:rsidR="00E76116" w:rsidRDefault="00E76116">
          <w:pPr>
            <w:pStyle w:val="INNH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3924479" w:history="1">
            <w:r w:rsidRPr="0058792B">
              <w:rPr>
                <w:rStyle w:val="Hyperkobling"/>
              </w:rPr>
              <w:t>3    Når forskriften gjelder: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_Toc23924479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25F4BF2" w14:textId="2882CC62" w:rsidR="00E76116" w:rsidRDefault="00E76116">
          <w:pPr>
            <w:pStyle w:val="INNH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3924480" w:history="1">
            <w:r w:rsidRPr="0058792B">
              <w:rPr>
                <w:rStyle w:val="Hyperkobling"/>
              </w:rPr>
              <w:t>4    Arbeidsgodtgjørelse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_Toc23924480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CF170E9" w14:textId="562B5099" w:rsidR="00E76116" w:rsidRDefault="00E76116">
          <w:pPr>
            <w:pStyle w:val="INNH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3924481" w:history="1">
            <w:r w:rsidRPr="0058792B">
              <w:rPr>
                <w:rStyle w:val="Hyperkobling"/>
              </w:rPr>
              <w:t>5    Faste godtgjørelser: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_Toc23924481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58566FF" w14:textId="10657D7A" w:rsidR="00E76116" w:rsidRDefault="00E76116">
          <w:pPr>
            <w:pStyle w:val="INNH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3924482" w:history="1">
            <w:r w:rsidRPr="0058792B">
              <w:rPr>
                <w:rStyle w:val="Hyperkobling"/>
              </w:rPr>
              <w:t>6    Møtegodtgjørelse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_Toc23924482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9CD2200" w14:textId="1DF995CE" w:rsidR="00E76116" w:rsidRDefault="00E76116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3924483" w:history="1">
            <w:r w:rsidRPr="0058792B">
              <w:rPr>
                <w:rStyle w:val="Hyperkobling"/>
                <w:rFonts w:cs="Times-Roman"/>
              </w:rPr>
              <w:t>7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Pr="0058792B">
              <w:rPr>
                <w:rStyle w:val="Hyperkobling"/>
              </w:rPr>
              <w:t>Direkte utgifter forbundet med ivaretakelse av tillitsverv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_Toc23924483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D9E19EA" w14:textId="4DDB5E75" w:rsidR="00E76116" w:rsidRDefault="00E76116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3924484" w:history="1">
            <w:r w:rsidRPr="0058792B">
              <w:rPr>
                <w:rStyle w:val="Hyperkobling"/>
                <w:rFonts w:cs="Times-Roman"/>
              </w:rPr>
              <w:t>8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Pr="0058792B">
              <w:rPr>
                <w:rStyle w:val="Hyperkobling"/>
              </w:rPr>
              <w:t>Skyssgodtgjørelse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_Toc23924484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554FD85" w14:textId="102695D1" w:rsidR="00E76116" w:rsidRDefault="00E76116">
          <w:pPr>
            <w:pStyle w:val="INNH1"/>
            <w:tabs>
              <w:tab w:val="left" w:pos="4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3924485" w:history="1">
            <w:r w:rsidRPr="0058792B">
              <w:rPr>
                <w:rStyle w:val="Hyperkobling"/>
                <w:rFonts w:cs="Times-Roman"/>
              </w:rPr>
              <w:t>9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Pr="0058792B">
              <w:rPr>
                <w:rStyle w:val="Hyperkobling"/>
              </w:rPr>
              <w:t>Diett/bespisning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_Toc23924485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88EDD83" w14:textId="4D1E2B0D" w:rsidR="00E76116" w:rsidRDefault="00E76116">
          <w:pPr>
            <w:pStyle w:val="INNH1"/>
            <w:tabs>
              <w:tab w:val="left" w:pos="6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3924486" w:history="1">
            <w:r w:rsidRPr="0058792B">
              <w:rPr>
                <w:rStyle w:val="Hyperkobling"/>
                <w:rFonts w:cs="Times-Roman"/>
              </w:rPr>
              <w:t>10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Pr="0058792B">
              <w:rPr>
                <w:rStyle w:val="Hyperkobling"/>
              </w:rPr>
              <w:t>Utbetaling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_Toc23924486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BD4D0B7" w14:textId="4DFC3CDE" w:rsidR="00E76116" w:rsidRDefault="00E76116">
          <w:pPr>
            <w:pStyle w:val="INNH1"/>
            <w:tabs>
              <w:tab w:val="left" w:pos="6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3924487" w:history="1">
            <w:r w:rsidRPr="0058792B">
              <w:rPr>
                <w:rStyle w:val="Hyperkobling"/>
                <w:rFonts w:cs="Times-Roman"/>
              </w:rPr>
              <w:t>11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Pr="0058792B">
              <w:rPr>
                <w:rStyle w:val="Hyperkobling"/>
              </w:rPr>
              <w:t>Iverksettelse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_Toc23924487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4BBF035" w14:textId="32F0382B" w:rsidR="009D555B" w:rsidRPr="006E6EFF" w:rsidRDefault="009D555B">
          <w:pPr>
            <w:rPr>
              <w:sz w:val="20"/>
              <w:szCs w:val="20"/>
            </w:rPr>
          </w:pPr>
          <w:r w:rsidRPr="00146172">
            <w:rPr>
              <w:rFonts w:ascii="Verdana" w:hAnsi="Verdana"/>
              <w:b/>
              <w:bCs/>
              <w:sz w:val="20"/>
              <w:szCs w:val="20"/>
            </w:rPr>
            <w:fldChar w:fldCharType="end"/>
          </w:r>
        </w:p>
      </w:sdtContent>
    </w:sdt>
    <w:p w14:paraId="28FAF09B" w14:textId="77777777" w:rsidR="008F4243" w:rsidRPr="006E6EFF" w:rsidRDefault="008F4243">
      <w:pPr>
        <w:spacing w:after="200" w:line="276" w:lineRule="auto"/>
        <w:rPr>
          <w:rFonts w:ascii="Verdana" w:eastAsiaTheme="majorEastAsia" w:hAnsi="Verdana" w:cstheme="majorBidi"/>
          <w:b/>
          <w:bCs/>
          <w:color w:val="FA8000" w:themeColor="accent1"/>
          <w:spacing w:val="20"/>
          <w:sz w:val="20"/>
          <w:szCs w:val="20"/>
        </w:rPr>
        <w:sectPr w:rsidR="008F4243" w:rsidRPr="006E6EFF" w:rsidSect="00794C63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1559" w:left="1418" w:header="709" w:footer="403" w:gutter="0"/>
          <w:cols w:space="708"/>
          <w:titlePg/>
          <w:docGrid w:linePitch="360"/>
        </w:sectPr>
      </w:pPr>
      <w:bookmarkStart w:id="0" w:name="_GoBack"/>
      <w:bookmarkEnd w:id="0"/>
    </w:p>
    <w:p w14:paraId="3DED2B7F" w14:textId="4B42B4EB" w:rsidR="00CA0FA6" w:rsidRPr="001122E5" w:rsidRDefault="00230E8F" w:rsidP="00230E8F">
      <w:pPr>
        <w:pStyle w:val="Overskrift1"/>
        <w:numPr>
          <w:ilvl w:val="0"/>
          <w:numId w:val="26"/>
        </w:numPr>
        <w:spacing w:before="0"/>
        <w:rPr>
          <w:color w:val="0070C0"/>
          <w:sz w:val="24"/>
          <w:szCs w:val="24"/>
        </w:rPr>
      </w:pPr>
      <w:bookmarkStart w:id="1" w:name="_Toc23924477"/>
      <w:r>
        <w:rPr>
          <w:color w:val="0070C0"/>
          <w:sz w:val="24"/>
          <w:szCs w:val="24"/>
        </w:rPr>
        <w:lastRenderedPageBreak/>
        <w:t>Forskriftens virkeområde og målsetting:</w:t>
      </w:r>
      <w:bookmarkEnd w:id="1"/>
    </w:p>
    <w:p w14:paraId="4EAA8206" w14:textId="77777777" w:rsidR="00A2798B" w:rsidRDefault="00A2798B" w:rsidP="00CA0FA6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7FDEF65B" w14:textId="77777777" w:rsidR="00230E8F" w:rsidRDefault="00230E8F" w:rsidP="00230E8F">
      <w:pPr>
        <w:pStyle w:val="Listeavsnitt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230E8F">
        <w:rPr>
          <w:rFonts w:ascii="Verdana" w:hAnsi="Verdana"/>
          <w:sz w:val="20"/>
          <w:szCs w:val="20"/>
        </w:rPr>
        <w:t>Hvem regulativet gjelder for:</w:t>
      </w:r>
    </w:p>
    <w:p w14:paraId="6FB70707" w14:textId="4BD059A2" w:rsidR="00DA4564" w:rsidRPr="00230E8F" w:rsidRDefault="00230E8F" w:rsidP="00230E8F">
      <w:pPr>
        <w:pStyle w:val="Listeavsnitt"/>
        <w:numPr>
          <w:ilvl w:val="2"/>
          <w:numId w:val="26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230E8F">
        <w:rPr>
          <w:sz w:val="23"/>
          <w:szCs w:val="23"/>
        </w:rPr>
        <w:t xml:space="preserve">Medlemmer av kommunestyret og folkevalgte medlemmer av andre kommunale utvalg, styrer, nemnder, råd og plankomiteer oppnevnt av formannskapet og kommunestyret og som ikke får godtgjørelse av andre instanser i h.h.t. lover og regler. Denne bestemmelsen gjelder også medlemmer i menighetsrådenes fellesråd, medlemmer i menighetsrådene og kommunens medlemmer i interkommunale plankomiteer, nemnder og råd. </w:t>
      </w:r>
    </w:p>
    <w:p w14:paraId="189DDCD0" w14:textId="77777777" w:rsidR="00230E8F" w:rsidRPr="00230E8F" w:rsidRDefault="00230E8F" w:rsidP="00230E8F">
      <w:pPr>
        <w:pStyle w:val="Listeavsnitt"/>
        <w:numPr>
          <w:ilvl w:val="2"/>
          <w:numId w:val="26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>
        <w:rPr>
          <w:sz w:val="23"/>
          <w:szCs w:val="23"/>
        </w:rPr>
        <w:t>Medlemmer av kommunale utvalg o.l. som kommunen ber institusjoner, organisasjoner o.l. om å oppnevne. Representanter fra institusjoner som delvis eller helt ut finansieres av det offentlige gis ikke møtegodtgjørelse.</w:t>
      </w:r>
    </w:p>
    <w:p w14:paraId="40120D16" w14:textId="740255AE" w:rsidR="00230E8F" w:rsidRPr="00230E8F" w:rsidRDefault="00230E8F" w:rsidP="00230E8F">
      <w:pPr>
        <w:pStyle w:val="Listeavsnitt"/>
        <w:numPr>
          <w:ilvl w:val="2"/>
          <w:numId w:val="26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230E8F">
        <w:rPr>
          <w:sz w:val="23"/>
          <w:szCs w:val="23"/>
        </w:rPr>
        <w:t xml:space="preserve">Representanter valgt av kommunen i ikke-kommunale styrer og råd som ikke mottar godtgjørelse fra vedk. institusjon/ styre. (Jfr. 1.5.4.) </w:t>
      </w:r>
    </w:p>
    <w:p w14:paraId="03BD6A8C" w14:textId="14F2AEAA" w:rsidR="00230E8F" w:rsidRDefault="00230E8F" w:rsidP="00230E8F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p w14:paraId="28550095" w14:textId="7EB902E6" w:rsidR="00416D71" w:rsidRDefault="00416D71" w:rsidP="00416D71">
      <w:pPr>
        <w:pStyle w:val="Listeavsnitt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Arbeidsgodtgjørelse (kommunelovens § 8-4)</w:t>
      </w:r>
    </w:p>
    <w:p w14:paraId="48BB1A36" w14:textId="59560046" w:rsidR="00416D71" w:rsidRPr="00416D71" w:rsidRDefault="00416D71" w:rsidP="00416D71">
      <w:pPr>
        <w:autoSpaceDE w:val="0"/>
        <w:autoSpaceDN w:val="0"/>
        <w:adjustRightInd w:val="0"/>
        <w:spacing w:after="0"/>
        <w:ind w:firstLine="708"/>
        <w:rPr>
          <w:rFonts w:ascii="Verdana" w:hAnsi="Verdana"/>
          <w:color w:val="17365D" w:themeColor="text2" w:themeShade="BF"/>
          <w:sz w:val="20"/>
          <w:szCs w:val="20"/>
        </w:rPr>
      </w:pPr>
      <w:r w:rsidRPr="00416D71">
        <w:rPr>
          <w:rFonts w:ascii="Verdana" w:hAnsi="Verdana"/>
          <w:color w:val="17365D" w:themeColor="text2" w:themeShade="BF"/>
          <w:sz w:val="20"/>
          <w:szCs w:val="20"/>
        </w:rPr>
        <w:t>Arbeidsgodtgjørelsens nærmere inndeling og hva den dekker:</w:t>
      </w:r>
    </w:p>
    <w:p w14:paraId="50C9B29D" w14:textId="77777777" w:rsidR="00416D71" w:rsidRPr="00416D71" w:rsidRDefault="00416D71" w:rsidP="00416D71">
      <w:pPr>
        <w:pStyle w:val="Listeavsnitt"/>
        <w:numPr>
          <w:ilvl w:val="2"/>
          <w:numId w:val="26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416D71">
        <w:rPr>
          <w:sz w:val="23"/>
          <w:szCs w:val="23"/>
        </w:rPr>
        <w:t xml:space="preserve">Godtgjørelse for den arbeidsinnsats som ytes av de folkevalgte representanter utbetales som en godtgjørelse knyttet til det enkelte møte i kommunal regi. For en del særlige byrdefulle tillitsverv, ytes en årlig godtgjørelse i </w:t>
      </w:r>
      <w:r>
        <w:rPr>
          <w:sz w:val="23"/>
          <w:szCs w:val="23"/>
        </w:rPr>
        <w:t>tillegg.</w:t>
      </w:r>
    </w:p>
    <w:p w14:paraId="03D914A0" w14:textId="77777777" w:rsidR="00416D71" w:rsidRPr="00416D71" w:rsidRDefault="00416D71" w:rsidP="00416D71">
      <w:pPr>
        <w:pStyle w:val="Listeavsnitt"/>
        <w:numPr>
          <w:ilvl w:val="2"/>
          <w:numId w:val="26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416D71">
        <w:rPr>
          <w:sz w:val="23"/>
          <w:szCs w:val="23"/>
        </w:rPr>
        <w:t>Godtgjørelsen er ment å dekke arbeid utført i møte, arbeid utenom møter til forberedelse, ev. oppfølging av saker, samt utgifter forbundet med tillitsvervet som ikke er særskilt nevnt i regulativet. I spesielle tilfeller kan det etter søknad innvilges godtgjørelse for utgifter forbundet med tillitsvervet. Slike søknader avgjøres av formannskapet</w:t>
      </w:r>
    </w:p>
    <w:p w14:paraId="5BC4C4CE" w14:textId="6FCA9B9F" w:rsidR="00416D71" w:rsidRPr="00416D71" w:rsidRDefault="00416D71" w:rsidP="00416D71">
      <w:pPr>
        <w:pStyle w:val="Listeavsnitt"/>
        <w:numPr>
          <w:ilvl w:val="2"/>
          <w:numId w:val="26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416D71">
        <w:rPr>
          <w:sz w:val="23"/>
          <w:szCs w:val="23"/>
        </w:rPr>
        <w:t xml:space="preserve">Godtgjørelsen fastsettes i henhold til </w:t>
      </w:r>
      <w:proofErr w:type="spellStart"/>
      <w:r w:rsidRPr="00416D71">
        <w:rPr>
          <w:sz w:val="23"/>
          <w:szCs w:val="23"/>
        </w:rPr>
        <w:t>nedenfornevnte</w:t>
      </w:r>
      <w:proofErr w:type="spellEnd"/>
      <w:r w:rsidRPr="00416D71">
        <w:rPr>
          <w:sz w:val="23"/>
          <w:szCs w:val="23"/>
        </w:rPr>
        <w:t xml:space="preserve"> regler</w:t>
      </w:r>
    </w:p>
    <w:p w14:paraId="75239AB0" w14:textId="5C1131F4" w:rsidR="00230E8F" w:rsidRPr="00230E8F" w:rsidRDefault="00230E8F" w:rsidP="00230E8F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p w14:paraId="3D2362EF" w14:textId="573821A3" w:rsidR="00230E8F" w:rsidRPr="00230E8F" w:rsidRDefault="00230E8F" w:rsidP="00230E8F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906C5E6" w14:textId="29C3BE43" w:rsidR="00CA0FA6" w:rsidRPr="001122E5" w:rsidRDefault="00764EFE" w:rsidP="00764EFE">
      <w:pPr>
        <w:pStyle w:val="Overskrift1"/>
        <w:numPr>
          <w:ilvl w:val="0"/>
          <w:numId w:val="26"/>
        </w:numPr>
        <w:spacing w:before="0"/>
        <w:rPr>
          <w:color w:val="0070C0"/>
          <w:sz w:val="24"/>
          <w:szCs w:val="24"/>
        </w:rPr>
      </w:pPr>
      <w:bookmarkStart w:id="2" w:name="_Toc23924478"/>
      <w:r>
        <w:rPr>
          <w:color w:val="0070C0"/>
          <w:sz w:val="24"/>
          <w:szCs w:val="24"/>
        </w:rPr>
        <w:t>Type godtgjørelse som ytes</w:t>
      </w:r>
      <w:r w:rsidR="00475E26">
        <w:rPr>
          <w:color w:val="0070C0"/>
          <w:sz w:val="24"/>
          <w:szCs w:val="24"/>
        </w:rPr>
        <w:t>:</w:t>
      </w:r>
      <w:bookmarkEnd w:id="2"/>
    </w:p>
    <w:p w14:paraId="1F6C5C10" w14:textId="77777777" w:rsidR="00475E26" w:rsidRPr="00475E26" w:rsidRDefault="00475E26" w:rsidP="00475E26">
      <w:pPr>
        <w:pStyle w:val="Listeavsnitt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475E26">
        <w:rPr>
          <w:sz w:val="23"/>
          <w:szCs w:val="23"/>
        </w:rPr>
        <w:t xml:space="preserve">Forskriften tar sikte på å yte en rimelig kompensasjon for den arbeidsinnsats som ytes av de folkevalgte representanter, gi erstatning for tap av arbeidsinntekt samt å dekke de reelle utgifter forbundet med tillitsvervet. </w:t>
      </w:r>
    </w:p>
    <w:p w14:paraId="050CD277" w14:textId="7473F434" w:rsidR="00475E26" w:rsidRPr="00475E26" w:rsidRDefault="00475E26" w:rsidP="00475E26">
      <w:pPr>
        <w:pStyle w:val="Listeavsnitt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475E26">
        <w:rPr>
          <w:sz w:val="23"/>
          <w:szCs w:val="23"/>
        </w:rPr>
        <w:t xml:space="preserve">Forskriften omfatter følgende type godtgjørelse: </w:t>
      </w:r>
    </w:p>
    <w:p w14:paraId="309D91BD" w14:textId="17BB7040" w:rsidR="00764EFE" w:rsidRPr="00475E26" w:rsidRDefault="00475E26" w:rsidP="00475E26">
      <w:pPr>
        <w:pStyle w:val="Listeavsnitt"/>
        <w:autoSpaceDE w:val="0"/>
        <w:autoSpaceDN w:val="0"/>
        <w:adjustRightInd w:val="0"/>
        <w:spacing w:after="0"/>
        <w:ind w:firstLine="0"/>
        <w:rPr>
          <w:sz w:val="23"/>
          <w:szCs w:val="23"/>
        </w:rPr>
      </w:pPr>
      <w:r w:rsidRPr="00230E8F">
        <w:rPr>
          <w:sz w:val="23"/>
          <w:szCs w:val="23"/>
        </w:rPr>
        <w:t xml:space="preserve">Arbeidsgodtgjørelse (kommunelovens § 8-4) - Erstatning for tapt arbeidsinntekt. (kommunelovens § 8-3) - </w:t>
      </w:r>
      <w:r>
        <w:rPr>
          <w:sz w:val="23"/>
          <w:szCs w:val="23"/>
        </w:rPr>
        <w:t>k</w:t>
      </w:r>
      <w:r w:rsidRPr="00230E8F">
        <w:rPr>
          <w:sz w:val="23"/>
          <w:szCs w:val="23"/>
        </w:rPr>
        <w:t xml:space="preserve">ostgodtgjørelse og nattillegg. - </w:t>
      </w:r>
      <w:r>
        <w:rPr>
          <w:sz w:val="23"/>
          <w:szCs w:val="23"/>
        </w:rPr>
        <w:t>d</w:t>
      </w:r>
      <w:r w:rsidRPr="00230E8F">
        <w:rPr>
          <w:sz w:val="23"/>
          <w:szCs w:val="23"/>
        </w:rPr>
        <w:t xml:space="preserve">ekning av reiseutgifter </w:t>
      </w:r>
      <w:r>
        <w:rPr>
          <w:sz w:val="23"/>
          <w:szCs w:val="23"/>
        </w:rPr>
        <w:t xml:space="preserve">- dekning av utgifter til barnepass. </w:t>
      </w:r>
      <w:r w:rsidR="00764EFE" w:rsidRPr="00475E26">
        <w:rPr>
          <w:sz w:val="23"/>
          <w:szCs w:val="23"/>
        </w:rPr>
        <w:t xml:space="preserve">Forskriften omfatter følgende type godtgjørelse: </w:t>
      </w:r>
    </w:p>
    <w:p w14:paraId="27ECDFCC" w14:textId="77777777" w:rsidR="00764EFE" w:rsidRDefault="00764EFE" w:rsidP="00764EFE">
      <w:pPr>
        <w:pStyle w:val="Listeavsnitt"/>
        <w:autoSpaceDE w:val="0"/>
        <w:autoSpaceDN w:val="0"/>
        <w:adjustRightInd w:val="0"/>
        <w:spacing w:after="0"/>
        <w:ind w:firstLine="0"/>
        <w:rPr>
          <w:sz w:val="23"/>
          <w:szCs w:val="23"/>
        </w:rPr>
      </w:pPr>
      <w:r w:rsidRPr="00230E8F">
        <w:rPr>
          <w:sz w:val="23"/>
          <w:szCs w:val="23"/>
        </w:rPr>
        <w:t xml:space="preserve">Arbeidsgodtgjørelse (kommunelovens § 8-4) - Erstatning for tapt arbeidsinntekt. (kommunelovens § 8-3) - </w:t>
      </w:r>
      <w:r>
        <w:rPr>
          <w:sz w:val="23"/>
          <w:szCs w:val="23"/>
        </w:rPr>
        <w:t>k</w:t>
      </w:r>
      <w:r w:rsidRPr="00230E8F">
        <w:rPr>
          <w:sz w:val="23"/>
          <w:szCs w:val="23"/>
        </w:rPr>
        <w:t xml:space="preserve">ostgodtgjørelse og nattillegg. - </w:t>
      </w:r>
      <w:r>
        <w:rPr>
          <w:sz w:val="23"/>
          <w:szCs w:val="23"/>
        </w:rPr>
        <w:t>d</w:t>
      </w:r>
      <w:r w:rsidRPr="00230E8F">
        <w:rPr>
          <w:sz w:val="23"/>
          <w:szCs w:val="23"/>
        </w:rPr>
        <w:t xml:space="preserve">ekning av reiseutgifter </w:t>
      </w:r>
      <w:r>
        <w:rPr>
          <w:sz w:val="23"/>
          <w:szCs w:val="23"/>
        </w:rPr>
        <w:t xml:space="preserve">- dekning av utgifter til barnepass. </w:t>
      </w:r>
    </w:p>
    <w:p w14:paraId="0A37E8E5" w14:textId="77777777" w:rsidR="00CA0FA6" w:rsidRPr="00EE4A67" w:rsidRDefault="00CA0FA6" w:rsidP="00EE4A6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14:paraId="42DB3B13" w14:textId="6ED2BA64" w:rsidR="00475E26" w:rsidRPr="00475E26" w:rsidRDefault="00CA0FA6" w:rsidP="00475E26">
      <w:pPr>
        <w:pStyle w:val="Overskrift1"/>
        <w:spacing w:before="0"/>
        <w:rPr>
          <w:color w:val="0070C0"/>
          <w:sz w:val="24"/>
          <w:szCs w:val="24"/>
        </w:rPr>
      </w:pPr>
      <w:bookmarkStart w:id="3" w:name="_Toc23924479"/>
      <w:r w:rsidRPr="001122E5">
        <w:rPr>
          <w:color w:val="0070C0"/>
          <w:sz w:val="24"/>
          <w:szCs w:val="24"/>
        </w:rPr>
        <w:t xml:space="preserve">3 </w:t>
      </w:r>
      <w:r w:rsidR="00E51663">
        <w:rPr>
          <w:color w:val="0070C0"/>
          <w:sz w:val="24"/>
          <w:szCs w:val="24"/>
        </w:rPr>
        <w:t xml:space="preserve">   </w:t>
      </w:r>
      <w:r w:rsidR="00475E26">
        <w:rPr>
          <w:color w:val="0070C0"/>
          <w:sz w:val="24"/>
          <w:szCs w:val="24"/>
        </w:rPr>
        <w:t>Når forskriften gjelder:</w:t>
      </w:r>
      <w:bookmarkEnd w:id="3"/>
    </w:p>
    <w:p w14:paraId="0380F235" w14:textId="27AC7176" w:rsidR="00475E26" w:rsidRPr="00475E26" w:rsidRDefault="00475E26" w:rsidP="00475E26">
      <w:pPr>
        <w:pStyle w:val="Listeavsnitt"/>
        <w:numPr>
          <w:ilvl w:val="1"/>
          <w:numId w:val="27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475E26">
        <w:rPr>
          <w:sz w:val="23"/>
          <w:szCs w:val="23"/>
        </w:rPr>
        <w:t xml:space="preserve">Forskriften omfatter følgende type godtgjørelse: Godtgjørelse etter denne forskrift tilstås for ordinære møter i det/den styre/nemnd vedkommende er valgt inn i. Dette gjelder også ved befaringer hvis det/den samlede styre/nemnd deltar. </w:t>
      </w:r>
    </w:p>
    <w:p w14:paraId="01DABE6E" w14:textId="335ED4D8" w:rsidR="00475E26" w:rsidRPr="00475E26" w:rsidRDefault="00475E26" w:rsidP="00475E26">
      <w:pPr>
        <w:pStyle w:val="Listeavsnitt"/>
        <w:numPr>
          <w:ilvl w:val="1"/>
          <w:numId w:val="27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475E26">
        <w:rPr>
          <w:sz w:val="23"/>
          <w:szCs w:val="23"/>
        </w:rPr>
        <w:t>Kommunale ombud som blir pålagt av ordfører eller formannskapet å representere kommunen utenom ordinære møter, skal ha godtgjørelse etter forskriftens pkt. 2.2, unntatt arbeidsgodtgjørelse.</w:t>
      </w:r>
    </w:p>
    <w:p w14:paraId="74D2ABE1" w14:textId="77777777" w:rsidR="00F83797" w:rsidRDefault="00F83797" w:rsidP="00CA0FA6">
      <w:pPr>
        <w:pStyle w:val="Overskrift1"/>
        <w:spacing w:before="0"/>
        <w:rPr>
          <w:sz w:val="24"/>
          <w:szCs w:val="24"/>
        </w:rPr>
      </w:pPr>
    </w:p>
    <w:p w14:paraId="5118CD20" w14:textId="4878383E" w:rsidR="00CA0FA6" w:rsidRDefault="00CA0FA6" w:rsidP="00CA0FA6">
      <w:pPr>
        <w:pStyle w:val="Overskrift1"/>
        <w:spacing w:before="0"/>
        <w:rPr>
          <w:color w:val="0070C0"/>
          <w:sz w:val="24"/>
          <w:szCs w:val="24"/>
        </w:rPr>
      </w:pPr>
      <w:bookmarkStart w:id="4" w:name="_Toc23924480"/>
      <w:r w:rsidRPr="001122E5">
        <w:rPr>
          <w:color w:val="0070C0"/>
          <w:sz w:val="24"/>
          <w:szCs w:val="24"/>
        </w:rPr>
        <w:t xml:space="preserve">4 </w:t>
      </w:r>
      <w:r w:rsidR="00E51663">
        <w:rPr>
          <w:color w:val="0070C0"/>
          <w:sz w:val="24"/>
          <w:szCs w:val="24"/>
        </w:rPr>
        <w:t xml:space="preserve">   </w:t>
      </w:r>
      <w:r w:rsidR="00475E26">
        <w:rPr>
          <w:color w:val="0070C0"/>
          <w:sz w:val="24"/>
          <w:szCs w:val="24"/>
        </w:rPr>
        <w:t>Arbeidsgodtgjørelse</w:t>
      </w:r>
      <w:bookmarkEnd w:id="4"/>
      <w:r w:rsidR="00475E26">
        <w:rPr>
          <w:color w:val="0070C0"/>
          <w:sz w:val="24"/>
          <w:szCs w:val="24"/>
        </w:rPr>
        <w:t xml:space="preserve"> </w:t>
      </w:r>
    </w:p>
    <w:p w14:paraId="53DB439E" w14:textId="37AA7F30" w:rsidR="00475E26" w:rsidRDefault="00475E26" w:rsidP="00475E26">
      <w:r>
        <w:t>Arbeidsgodtgjørelsens nærmere inndeling og hva den dekker:</w:t>
      </w:r>
    </w:p>
    <w:p w14:paraId="22DE2AC2" w14:textId="2DDF2572" w:rsidR="00475E26" w:rsidRPr="00831F32" w:rsidRDefault="00831F32" w:rsidP="00831F32">
      <w:pPr>
        <w:pStyle w:val="Listeavsnitt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831F32">
        <w:rPr>
          <w:sz w:val="23"/>
          <w:szCs w:val="23"/>
        </w:rPr>
        <w:lastRenderedPageBreak/>
        <w:t>Godtgjørelse for den arbeidsinnsats som ytes av de folkevalgte representanter utbetales som en godtgjørelse knyttet til det enkelte møte i kommunal regi. For en del særlige byrdefulle tillitsverv, ytes en årlig godtgjørelse i tillegg.</w:t>
      </w:r>
    </w:p>
    <w:p w14:paraId="64AC4653" w14:textId="4D0FCD6E" w:rsidR="00831F32" w:rsidRPr="00831F32" w:rsidRDefault="00831F32" w:rsidP="00831F32">
      <w:pPr>
        <w:pStyle w:val="Listeavsnitt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>
        <w:rPr>
          <w:sz w:val="23"/>
          <w:szCs w:val="23"/>
        </w:rPr>
        <w:t>Godtgjørelsen er ment å dekke arbeid utført i møte, arbeid utenom møter til forberedelse, ev. oppfølging av saker, samt utgifter forbundet med tillitsvervet som ikke er særskilt nevnt i regulativet. I spesielle tilfeller kan det etter søknad innvilges godtgjørelse for utgifter forbundet med tillitsvervet. Slike søknader avgjøres av formannskapet.</w:t>
      </w:r>
    </w:p>
    <w:p w14:paraId="7248CAD3" w14:textId="08C1388E" w:rsidR="00831F32" w:rsidRPr="00831F32" w:rsidRDefault="00831F32" w:rsidP="00831F32">
      <w:pPr>
        <w:pStyle w:val="Listeavsnitt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>
        <w:rPr>
          <w:sz w:val="23"/>
          <w:szCs w:val="23"/>
        </w:rPr>
        <w:t xml:space="preserve">Godtgjørelsen fastsettes i henhold til </w:t>
      </w:r>
      <w:proofErr w:type="spellStart"/>
      <w:r>
        <w:rPr>
          <w:sz w:val="23"/>
          <w:szCs w:val="23"/>
        </w:rPr>
        <w:t>nedenfornevnte</w:t>
      </w:r>
      <w:proofErr w:type="spellEnd"/>
      <w:r>
        <w:rPr>
          <w:sz w:val="23"/>
          <w:szCs w:val="23"/>
        </w:rPr>
        <w:t xml:space="preserve"> regler</w:t>
      </w:r>
    </w:p>
    <w:p w14:paraId="7DCC0D6B" w14:textId="77777777" w:rsidR="00135924" w:rsidRPr="008E5286" w:rsidRDefault="00135924" w:rsidP="00CA0FA6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0"/>
          <w:szCs w:val="20"/>
        </w:rPr>
      </w:pPr>
    </w:p>
    <w:p w14:paraId="5FB22B23" w14:textId="770D37F5" w:rsidR="00831F32" w:rsidRPr="00831F32" w:rsidRDefault="00AE3330" w:rsidP="00831F32">
      <w:pPr>
        <w:pStyle w:val="Overskrift1"/>
        <w:spacing w:before="0"/>
        <w:rPr>
          <w:color w:val="0070C0"/>
          <w:sz w:val="24"/>
          <w:szCs w:val="24"/>
        </w:rPr>
      </w:pPr>
      <w:bookmarkStart w:id="5" w:name="_Toc23924481"/>
      <w:r w:rsidRPr="001122E5">
        <w:rPr>
          <w:color w:val="0070C0"/>
          <w:sz w:val="24"/>
          <w:szCs w:val="24"/>
        </w:rPr>
        <w:t xml:space="preserve">5 </w:t>
      </w:r>
      <w:r w:rsidR="00E51663">
        <w:rPr>
          <w:color w:val="0070C0"/>
          <w:sz w:val="24"/>
          <w:szCs w:val="24"/>
        </w:rPr>
        <w:t xml:space="preserve">   </w:t>
      </w:r>
      <w:r w:rsidR="00831F32">
        <w:rPr>
          <w:color w:val="0070C0"/>
          <w:sz w:val="24"/>
          <w:szCs w:val="24"/>
        </w:rPr>
        <w:t>Faste godtgjørelser:</w:t>
      </w:r>
      <w:bookmarkEnd w:id="5"/>
    </w:p>
    <w:p w14:paraId="623B0BDE" w14:textId="61403753" w:rsidR="00831F32" w:rsidRPr="00831F32" w:rsidRDefault="00831F32" w:rsidP="00831F32">
      <w:pPr>
        <w:pStyle w:val="Listeavsnitt"/>
        <w:numPr>
          <w:ilvl w:val="1"/>
          <w:numId w:val="30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A25524">
        <w:rPr>
          <w:b/>
          <w:bCs/>
          <w:sz w:val="23"/>
          <w:szCs w:val="23"/>
        </w:rPr>
        <w:t>Ordførerens</w:t>
      </w:r>
      <w:r w:rsidRPr="00831F32">
        <w:rPr>
          <w:sz w:val="23"/>
          <w:szCs w:val="23"/>
        </w:rPr>
        <w:t xml:space="preserve"> godtgjørelse settes til 90% av stortingsrepresentantenes godtgjørelse. Godtgjørelsen gjelder for tjenestegjøring i alle kommunale verv. Folkevalgte som har vervet som sin hovedbeskjeftigelse har samme rett til sykepenger som ansatte i kommunen. Jfr. </w:t>
      </w:r>
      <w:proofErr w:type="spellStart"/>
      <w:r w:rsidRPr="00831F32">
        <w:rPr>
          <w:sz w:val="23"/>
          <w:szCs w:val="23"/>
        </w:rPr>
        <w:t>Komm.l</w:t>
      </w:r>
      <w:proofErr w:type="spellEnd"/>
      <w:r w:rsidRPr="00831F32">
        <w:rPr>
          <w:sz w:val="23"/>
          <w:szCs w:val="23"/>
        </w:rPr>
        <w:t xml:space="preserve">. § 8-8. Folkevalgte som har vervet som sin hovedbeskjeftigelse har samme rett til ytelser ved yrkesskade som ansatte i kommunen. Jfr. </w:t>
      </w:r>
      <w:proofErr w:type="spellStart"/>
      <w:r w:rsidRPr="00831F32">
        <w:rPr>
          <w:sz w:val="23"/>
          <w:szCs w:val="23"/>
        </w:rPr>
        <w:t>Komm.l</w:t>
      </w:r>
      <w:proofErr w:type="spellEnd"/>
      <w:r w:rsidRPr="00831F32">
        <w:rPr>
          <w:sz w:val="23"/>
          <w:szCs w:val="23"/>
        </w:rPr>
        <w:t xml:space="preserve">. § 8-9. Permisjonsreglene følger kommunelovens § 8-10. Ved fratredelse skal folkevalgte som har vervet som sin hovedbeskjeftigelse utbetales godtgjørelse i 3 måneder etter fratredelsen, dersom den folkevalgte ikke går tilbake til lønnet arbeide. Går den folkevalgte tilbake til lønnet arbeid med en gang utbetales lønn i 1 ½ </w:t>
      </w:r>
      <w:proofErr w:type="spellStart"/>
      <w:r w:rsidRPr="00831F32">
        <w:rPr>
          <w:sz w:val="23"/>
          <w:szCs w:val="23"/>
        </w:rPr>
        <w:t>mnd</w:t>
      </w:r>
      <w:proofErr w:type="spellEnd"/>
      <w:r w:rsidRPr="00831F32">
        <w:rPr>
          <w:sz w:val="23"/>
          <w:szCs w:val="23"/>
        </w:rPr>
        <w:t xml:space="preserve"> (dvs. feriepenger) Jfr. </w:t>
      </w:r>
      <w:proofErr w:type="spellStart"/>
      <w:r w:rsidRPr="00831F32">
        <w:rPr>
          <w:sz w:val="23"/>
          <w:szCs w:val="23"/>
        </w:rPr>
        <w:t>Komm.l</w:t>
      </w:r>
      <w:proofErr w:type="spellEnd"/>
      <w:r w:rsidRPr="00831F32">
        <w:rPr>
          <w:sz w:val="23"/>
          <w:szCs w:val="23"/>
        </w:rPr>
        <w:t xml:space="preserve">. § 8-6. </w:t>
      </w:r>
    </w:p>
    <w:p w14:paraId="381E2FF9" w14:textId="09BD3F37" w:rsidR="00831F32" w:rsidRDefault="00831F32" w:rsidP="00A25524">
      <w:pPr>
        <w:pStyle w:val="Listeavsnitt"/>
        <w:autoSpaceDE w:val="0"/>
        <w:autoSpaceDN w:val="0"/>
        <w:adjustRightInd w:val="0"/>
        <w:spacing w:after="0"/>
        <w:ind w:firstLine="0"/>
        <w:rPr>
          <w:sz w:val="23"/>
          <w:szCs w:val="23"/>
        </w:rPr>
      </w:pPr>
      <w:r w:rsidRPr="00831F32">
        <w:rPr>
          <w:sz w:val="23"/>
          <w:szCs w:val="23"/>
        </w:rPr>
        <w:t xml:space="preserve">Folkevalgte i </w:t>
      </w:r>
      <w:r>
        <w:rPr>
          <w:sz w:val="23"/>
          <w:szCs w:val="23"/>
        </w:rPr>
        <w:t>Brønnøy</w:t>
      </w:r>
      <w:r w:rsidRPr="00831F32">
        <w:rPr>
          <w:sz w:val="23"/>
          <w:szCs w:val="23"/>
        </w:rPr>
        <w:t xml:space="preserve"> kommune skal sluttes til en pensjonsordning. Jfr. </w:t>
      </w:r>
      <w:proofErr w:type="spellStart"/>
      <w:r w:rsidRPr="00831F32">
        <w:rPr>
          <w:sz w:val="23"/>
          <w:szCs w:val="23"/>
        </w:rPr>
        <w:t>Komm.l</w:t>
      </w:r>
      <w:proofErr w:type="spellEnd"/>
      <w:r w:rsidRPr="00831F32">
        <w:rPr>
          <w:sz w:val="23"/>
          <w:szCs w:val="23"/>
        </w:rPr>
        <w:t xml:space="preserve">. § 8-7 </w:t>
      </w:r>
    </w:p>
    <w:p w14:paraId="3C2ED4C2" w14:textId="0488779F" w:rsidR="009662FC" w:rsidRDefault="009662FC" w:rsidP="00A25524">
      <w:pPr>
        <w:pStyle w:val="Listeavsnitt"/>
        <w:autoSpaceDE w:val="0"/>
        <w:autoSpaceDN w:val="0"/>
        <w:adjustRightInd w:val="0"/>
        <w:spacing w:after="0"/>
        <w:ind w:firstLine="0"/>
        <w:rPr>
          <w:sz w:val="23"/>
          <w:szCs w:val="23"/>
        </w:rPr>
      </w:pPr>
      <w:r>
        <w:rPr>
          <w:sz w:val="23"/>
          <w:szCs w:val="23"/>
        </w:rPr>
        <w:t>Ordfører har fri mobiltelefon og internett.</w:t>
      </w:r>
    </w:p>
    <w:p w14:paraId="198BE9D1" w14:textId="0C95F156" w:rsidR="009662FC" w:rsidRPr="009662FC" w:rsidRDefault="00831F32" w:rsidP="00831F32">
      <w:pPr>
        <w:pStyle w:val="Listeavsnitt"/>
        <w:numPr>
          <w:ilvl w:val="1"/>
          <w:numId w:val="30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A25524">
        <w:rPr>
          <w:b/>
          <w:bCs/>
          <w:sz w:val="23"/>
          <w:szCs w:val="23"/>
        </w:rPr>
        <w:t>Varaordføre</w:t>
      </w:r>
      <w:r w:rsidR="00A25524" w:rsidRPr="00A25524">
        <w:rPr>
          <w:b/>
          <w:bCs/>
          <w:sz w:val="23"/>
          <w:szCs w:val="23"/>
        </w:rPr>
        <w:t>rens</w:t>
      </w:r>
      <w:r w:rsidR="00A25524">
        <w:rPr>
          <w:sz w:val="23"/>
          <w:szCs w:val="23"/>
        </w:rPr>
        <w:t xml:space="preserve"> godtgjørelse settes til 20% av ordførerens godtgjørelse</w:t>
      </w:r>
      <w:r w:rsidR="009662FC">
        <w:rPr>
          <w:sz w:val="23"/>
          <w:szCs w:val="23"/>
        </w:rPr>
        <w:t xml:space="preserve"> uavhengig hvor mye tid som går med til utøvelse av vervet</w:t>
      </w:r>
      <w:r w:rsidR="00A25524">
        <w:rPr>
          <w:sz w:val="23"/>
          <w:szCs w:val="23"/>
        </w:rPr>
        <w:t>. Godtgjørelsen gjelder for tjenestegjøring av alle kommunale verv.</w:t>
      </w:r>
      <w:r w:rsidR="009662FC">
        <w:rPr>
          <w:sz w:val="23"/>
          <w:szCs w:val="23"/>
        </w:rPr>
        <w:t xml:space="preserve"> </w:t>
      </w:r>
    </w:p>
    <w:p w14:paraId="5CF45186" w14:textId="23CC569A" w:rsidR="009662FC" w:rsidRDefault="009662FC" w:rsidP="009662FC">
      <w:pPr>
        <w:pStyle w:val="Listeavsnitt"/>
        <w:autoSpaceDE w:val="0"/>
        <w:autoSpaceDN w:val="0"/>
        <w:adjustRightInd w:val="0"/>
        <w:spacing w:after="0"/>
        <w:ind w:firstLine="0"/>
        <w:rPr>
          <w:sz w:val="23"/>
          <w:szCs w:val="23"/>
        </w:rPr>
      </w:pPr>
      <w:r>
        <w:rPr>
          <w:sz w:val="23"/>
          <w:szCs w:val="23"/>
        </w:rPr>
        <w:t>Varaordfører skal ikke ha møtegodtgjørelse og/eller tapt arbeidsfortjeneste for utøvelsen av vervet som varaordfører.</w:t>
      </w:r>
    </w:p>
    <w:p w14:paraId="7E2C6F78" w14:textId="77777777" w:rsidR="009662FC" w:rsidRDefault="009662FC" w:rsidP="009662FC">
      <w:pPr>
        <w:pStyle w:val="Listeavsnitt"/>
        <w:autoSpaceDE w:val="0"/>
        <w:autoSpaceDN w:val="0"/>
        <w:adjustRightInd w:val="0"/>
        <w:spacing w:after="0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Når varaordfører fungerer som ordfører ved langtids sykdom og av den grunn må søke permisjon fra sin ordinære jobb godtgjøres dette for ordfører bestemt. Permisjon må dokumenteres. </w:t>
      </w:r>
    </w:p>
    <w:p w14:paraId="50191EEA" w14:textId="6E66F0B0" w:rsidR="00831F32" w:rsidRPr="00A25524" w:rsidRDefault="00831F32" w:rsidP="009662FC">
      <w:pPr>
        <w:pStyle w:val="Listeavsnitt"/>
        <w:autoSpaceDE w:val="0"/>
        <w:autoSpaceDN w:val="0"/>
        <w:adjustRightInd w:val="0"/>
        <w:spacing w:after="0"/>
        <w:ind w:firstLine="0"/>
        <w:rPr>
          <w:rFonts w:ascii="Verdana" w:hAnsi="Verdana"/>
          <w:sz w:val="20"/>
          <w:szCs w:val="20"/>
        </w:rPr>
      </w:pPr>
      <w:r>
        <w:rPr>
          <w:sz w:val="23"/>
          <w:szCs w:val="23"/>
        </w:rPr>
        <w:t>Ved uenighet eller uklarheter bringes saken inn for formannskapet som får fullmakt til å godkjenne dette</w:t>
      </w:r>
      <w:r w:rsidR="00A25524">
        <w:rPr>
          <w:sz w:val="23"/>
          <w:szCs w:val="23"/>
        </w:rPr>
        <w:t>.</w:t>
      </w:r>
    </w:p>
    <w:p w14:paraId="733F7FD9" w14:textId="77777777" w:rsidR="00A25524" w:rsidRPr="00A25524" w:rsidRDefault="00A25524" w:rsidP="00A25524">
      <w:pPr>
        <w:pStyle w:val="Listeavsnitt"/>
        <w:numPr>
          <w:ilvl w:val="1"/>
          <w:numId w:val="30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A25524">
        <w:rPr>
          <w:b/>
          <w:bCs/>
        </w:rPr>
        <w:t>Formannskapet</w:t>
      </w:r>
      <w:r>
        <w:t xml:space="preserve"> medlemmer unntatt ordfører og varaordfører, får en fast årlig godtgjørelse tilsvarende 3% av ordførers godtgjørelse. Det utbetales ikke møtegodtgjørelse.</w:t>
      </w:r>
    </w:p>
    <w:p w14:paraId="57DE268D" w14:textId="50F72477" w:rsidR="00A25524" w:rsidRDefault="00A25524" w:rsidP="00A25524">
      <w:pPr>
        <w:pStyle w:val="Listeavsnitt"/>
        <w:autoSpaceDE w:val="0"/>
        <w:autoSpaceDN w:val="0"/>
        <w:adjustRightInd w:val="0"/>
        <w:spacing w:after="0"/>
        <w:ind w:firstLine="0"/>
      </w:pPr>
      <w:r>
        <w:t xml:space="preserve">Fravær fra mer </w:t>
      </w:r>
      <w:proofErr w:type="spellStart"/>
      <w:r>
        <w:t>en</w:t>
      </w:r>
      <w:proofErr w:type="spellEnd"/>
      <w:r>
        <w:t xml:space="preserve"> 1/3 av møtene fører til en reduksjon på 25%. Et medlem som ikke deltar i minst 2/3 av møtene, mister retten til fast godtgjørelse.</w:t>
      </w:r>
    </w:p>
    <w:p w14:paraId="32846121" w14:textId="350A3478" w:rsidR="00A25524" w:rsidRDefault="00A25524" w:rsidP="00A25524">
      <w:pPr>
        <w:pStyle w:val="Listeavsnitt"/>
        <w:autoSpaceDE w:val="0"/>
        <w:autoSpaceDN w:val="0"/>
        <w:adjustRightInd w:val="0"/>
        <w:spacing w:after="0"/>
        <w:ind w:firstLine="0"/>
        <w:rPr>
          <w:sz w:val="23"/>
          <w:szCs w:val="23"/>
        </w:rPr>
      </w:pPr>
      <w:r>
        <w:t xml:space="preserve">Dersom et varamedlem deltar i minst 1/3 av møtene, har vedk. rett til 25% av den faste godtgjørelsen. Et varamedlem som deltar i minst 2/3 av møtene, har rett til full, fast godtgjørelse. Varamedlemmer som ikke oppnår </w:t>
      </w:r>
      <w:proofErr w:type="gramStart"/>
      <w:r>
        <w:t>fastgodtgjørelse</w:t>
      </w:r>
      <w:proofErr w:type="gramEnd"/>
      <w:r>
        <w:t xml:space="preserve"> får utbetalt møtegodtgjørelse.</w:t>
      </w:r>
      <w:r w:rsidR="007F416F">
        <w:t xml:space="preserve"> </w:t>
      </w:r>
    </w:p>
    <w:p w14:paraId="2541D376" w14:textId="7075FFD3" w:rsidR="00306CDB" w:rsidRPr="00306CDB" w:rsidRDefault="00306CDB" w:rsidP="00306CDB">
      <w:pPr>
        <w:pStyle w:val="Listeavsnitt"/>
        <w:numPr>
          <w:ilvl w:val="1"/>
          <w:numId w:val="30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306CDB">
        <w:rPr>
          <w:b/>
          <w:bCs/>
        </w:rPr>
        <w:t>Lederne av driftsutvalgene</w:t>
      </w:r>
      <w:r>
        <w:t xml:space="preserve"> får en årlig godtgjørelse tilsvarende 2,5% av ordførers godtgjørelse.</w:t>
      </w:r>
    </w:p>
    <w:p w14:paraId="79E428FA" w14:textId="4773E661" w:rsidR="00306CDB" w:rsidRPr="00306CDB" w:rsidRDefault="00306CDB" w:rsidP="00306CDB">
      <w:pPr>
        <w:pStyle w:val="Listeavsnitt"/>
        <w:numPr>
          <w:ilvl w:val="1"/>
          <w:numId w:val="30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>
        <w:rPr>
          <w:b/>
          <w:bCs/>
        </w:rPr>
        <w:t>Utvalgsledere – Gruppe II</w:t>
      </w:r>
    </w:p>
    <w:p w14:paraId="4459F3C6" w14:textId="2F0A78D7" w:rsidR="00306CDB" w:rsidRDefault="00306CDB" w:rsidP="00306CDB">
      <w:pPr>
        <w:pStyle w:val="Listeavsnitt"/>
        <w:autoSpaceDE w:val="0"/>
        <w:autoSpaceDN w:val="0"/>
        <w:adjustRightInd w:val="0"/>
        <w:spacing w:after="0"/>
        <w:ind w:firstLine="0"/>
      </w:pPr>
      <w:r>
        <w:t>Lederne i de kommunale utvalg som omfattes av gruppe I, får en godtgjørelse tilsvarende 2% av ordførers godtgjørelse.</w:t>
      </w:r>
    </w:p>
    <w:p w14:paraId="3FCA9C4F" w14:textId="58671108" w:rsidR="00306CDB" w:rsidRDefault="00306CDB" w:rsidP="00306CDB">
      <w:pPr>
        <w:pStyle w:val="Listeavsnitt"/>
        <w:autoSpaceDE w:val="0"/>
        <w:autoSpaceDN w:val="0"/>
        <w:adjustRightInd w:val="0"/>
        <w:spacing w:after="0"/>
        <w:ind w:firstLine="0"/>
      </w:pPr>
      <w:r>
        <w:t>Gruppe I omfatter:</w:t>
      </w:r>
    </w:p>
    <w:p w14:paraId="79A95F41" w14:textId="675B427C" w:rsidR="00306CDB" w:rsidRPr="00306CDB" w:rsidRDefault="00306CDB" w:rsidP="00306CDB">
      <w:pPr>
        <w:pStyle w:val="Listeavsnit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>
        <w:t>Administrasjonsutvalget</w:t>
      </w:r>
    </w:p>
    <w:p w14:paraId="33128EBA" w14:textId="00946804" w:rsidR="00306CDB" w:rsidRPr="00306CDB" w:rsidRDefault="00306CDB" w:rsidP="00306CDB">
      <w:pPr>
        <w:pStyle w:val="Listeavsnit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>
        <w:t>Kontrollutvalget</w:t>
      </w:r>
    </w:p>
    <w:p w14:paraId="46F0CCE9" w14:textId="050546DD" w:rsidR="00A25524" w:rsidRPr="00306CDB" w:rsidRDefault="00A25524" w:rsidP="00A25524">
      <w:pPr>
        <w:pStyle w:val="Listeavsnitt"/>
        <w:numPr>
          <w:ilvl w:val="1"/>
          <w:numId w:val="30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 w:rsidRPr="00306CDB">
        <w:rPr>
          <w:b/>
          <w:bCs/>
        </w:rPr>
        <w:t>Utvalgsledere – Gruppe I</w:t>
      </w:r>
      <w:r w:rsidR="00306CDB">
        <w:rPr>
          <w:b/>
          <w:bCs/>
        </w:rPr>
        <w:t>I</w:t>
      </w:r>
    </w:p>
    <w:p w14:paraId="5C254706" w14:textId="53C3753A" w:rsidR="00306CDB" w:rsidRDefault="00A25524" w:rsidP="00306CDB">
      <w:pPr>
        <w:pStyle w:val="Listeavsnitt"/>
        <w:autoSpaceDE w:val="0"/>
        <w:autoSpaceDN w:val="0"/>
        <w:adjustRightInd w:val="0"/>
        <w:spacing w:after="0"/>
        <w:ind w:firstLine="0"/>
      </w:pPr>
      <w:r>
        <w:lastRenderedPageBreak/>
        <w:t>Ledere i de kommunale utvalg som omfattes av gruppe I</w:t>
      </w:r>
      <w:r w:rsidR="00306CDB">
        <w:t>I</w:t>
      </w:r>
      <w:r>
        <w:t xml:space="preserve">, får en godtgjørelse tilsvarende </w:t>
      </w:r>
      <w:r w:rsidR="00306CDB">
        <w:t>1</w:t>
      </w:r>
      <w:r>
        <w:t>% av ordførers godtgjørelse</w:t>
      </w:r>
      <w:r w:rsidR="00306CDB">
        <w:t>.</w:t>
      </w:r>
    </w:p>
    <w:p w14:paraId="0C7522EA" w14:textId="2B4D34E5" w:rsidR="00306CDB" w:rsidRDefault="00306CDB" w:rsidP="00306CDB">
      <w:pPr>
        <w:pStyle w:val="Listeavsnitt"/>
        <w:autoSpaceDE w:val="0"/>
        <w:autoSpaceDN w:val="0"/>
        <w:adjustRightInd w:val="0"/>
        <w:spacing w:after="0"/>
        <w:ind w:firstLine="0"/>
      </w:pPr>
      <w:r>
        <w:t>Gruppe II omfatter:</w:t>
      </w:r>
    </w:p>
    <w:p w14:paraId="4BF2FDCC" w14:textId="3D75FBEB" w:rsidR="00306CDB" w:rsidRDefault="00306CDB" w:rsidP="00306CDB">
      <w:pPr>
        <w:pStyle w:val="Listeavsnitt"/>
        <w:numPr>
          <w:ilvl w:val="0"/>
          <w:numId w:val="31"/>
        </w:numPr>
        <w:autoSpaceDE w:val="0"/>
        <w:autoSpaceDN w:val="0"/>
        <w:adjustRightInd w:val="0"/>
        <w:spacing w:after="0"/>
      </w:pPr>
      <w:r>
        <w:t>Arbeidsmiljøutvalget (Hvis leder er valgt blant de politiske medlemmer av utvalget)</w:t>
      </w:r>
    </w:p>
    <w:p w14:paraId="724E2F0C" w14:textId="2ABF8BFA" w:rsidR="00306CDB" w:rsidRDefault="00306CDB" w:rsidP="00306CDB">
      <w:pPr>
        <w:pStyle w:val="Listeavsnitt"/>
        <w:numPr>
          <w:ilvl w:val="0"/>
          <w:numId w:val="31"/>
        </w:numPr>
        <w:autoSpaceDE w:val="0"/>
        <w:autoSpaceDN w:val="0"/>
        <w:adjustRightInd w:val="0"/>
        <w:spacing w:after="0"/>
      </w:pPr>
      <w:r>
        <w:t>Eldrerådet</w:t>
      </w:r>
    </w:p>
    <w:p w14:paraId="1169CD44" w14:textId="11E51A58" w:rsidR="00306CDB" w:rsidRPr="00306CDB" w:rsidRDefault="00306CDB" w:rsidP="00306CDB">
      <w:pPr>
        <w:pStyle w:val="Listeavsnitt"/>
        <w:numPr>
          <w:ilvl w:val="0"/>
          <w:numId w:val="31"/>
        </w:numPr>
        <w:autoSpaceDE w:val="0"/>
        <w:autoSpaceDN w:val="0"/>
        <w:adjustRightInd w:val="0"/>
        <w:spacing w:after="0"/>
      </w:pPr>
      <w:r>
        <w:t>Råd for likestilling av funksjonshemmede</w:t>
      </w:r>
    </w:p>
    <w:p w14:paraId="512C93A7" w14:textId="13FF04CF" w:rsidR="00A25524" w:rsidRPr="00831F32" w:rsidRDefault="00A25524" w:rsidP="00A25524">
      <w:pPr>
        <w:pStyle w:val="Listeavsnitt"/>
        <w:autoSpaceDE w:val="0"/>
        <w:autoSpaceDN w:val="0"/>
        <w:adjustRightInd w:val="0"/>
        <w:spacing w:after="0"/>
        <w:ind w:firstLine="0"/>
        <w:rPr>
          <w:rFonts w:ascii="Verdana" w:hAnsi="Verdana"/>
          <w:sz w:val="20"/>
          <w:szCs w:val="20"/>
        </w:rPr>
      </w:pPr>
    </w:p>
    <w:p w14:paraId="298E5A90" w14:textId="28F585C0" w:rsidR="00306CDB" w:rsidRPr="00306CDB" w:rsidRDefault="00CA0FA6" w:rsidP="00306CDB">
      <w:pPr>
        <w:pStyle w:val="Overskrift1"/>
        <w:spacing w:before="0"/>
        <w:rPr>
          <w:color w:val="0070C0"/>
          <w:sz w:val="24"/>
          <w:szCs w:val="24"/>
        </w:rPr>
      </w:pPr>
      <w:bookmarkStart w:id="6" w:name="_Toc23924482"/>
      <w:r w:rsidRPr="001122E5">
        <w:rPr>
          <w:color w:val="0070C0"/>
          <w:sz w:val="24"/>
          <w:szCs w:val="24"/>
        </w:rPr>
        <w:t xml:space="preserve">6 </w:t>
      </w:r>
      <w:r w:rsidR="00E51663">
        <w:rPr>
          <w:color w:val="0070C0"/>
          <w:sz w:val="24"/>
          <w:szCs w:val="24"/>
        </w:rPr>
        <w:t xml:space="preserve">   </w:t>
      </w:r>
      <w:r w:rsidR="00306CDB">
        <w:rPr>
          <w:color w:val="0070C0"/>
          <w:sz w:val="24"/>
          <w:szCs w:val="24"/>
        </w:rPr>
        <w:t>Møtegodtgjørelse</w:t>
      </w:r>
      <w:bookmarkEnd w:id="6"/>
    </w:p>
    <w:p w14:paraId="798E5063" w14:textId="77777777" w:rsidR="000D5E06" w:rsidRPr="000D5E06" w:rsidRDefault="00306CDB" w:rsidP="00306CDB">
      <w:pPr>
        <w:pStyle w:val="Listeavsnit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t>Medlemmer</w:t>
      </w:r>
      <w:r w:rsidR="000D5E06">
        <w:t xml:space="preserve"> av kommunale utvalg gis møtegodtgjørelse med kr. 400,- for møter som varer lengre enn 1 time. Telefonmøter godtgjøres ikke. </w:t>
      </w:r>
    </w:p>
    <w:p w14:paraId="351D1C44" w14:textId="4C74DEA0" w:rsidR="000D5E06" w:rsidRDefault="000D5E06" w:rsidP="000D5E06">
      <w:pPr>
        <w:pStyle w:val="Listeavsnitt"/>
        <w:autoSpaceDE w:val="0"/>
        <w:autoSpaceDN w:val="0"/>
        <w:adjustRightInd w:val="0"/>
        <w:spacing w:after="0"/>
        <w:ind w:firstLine="0"/>
      </w:pPr>
      <w:r>
        <w:t>Samme godtgjørelse utbetales til evt. Møtende varamedlemmer. Møtende varamedlemmer til formannskapet får møtegodtgjø</w:t>
      </w:r>
      <w:r w:rsidR="007F416F">
        <w:t>r</w:t>
      </w:r>
      <w:r>
        <w:t xml:space="preserve">else hvis man ikke er berettiget til fastgodtgjørelse. </w:t>
      </w:r>
    </w:p>
    <w:p w14:paraId="57150187" w14:textId="49A96FA2" w:rsidR="00CA0FA6" w:rsidRPr="00306CDB" w:rsidRDefault="000D5E06" w:rsidP="000D5E06">
      <w:pPr>
        <w:pStyle w:val="Listeavsnitt"/>
        <w:autoSpaceDE w:val="0"/>
        <w:autoSpaceDN w:val="0"/>
        <w:adjustRightInd w:val="0"/>
        <w:spacing w:after="0"/>
        <w:ind w:firstLine="0"/>
        <w:rPr>
          <w:rFonts w:ascii="Verdana" w:hAnsi="Verdana"/>
          <w:b/>
          <w:bCs/>
          <w:sz w:val="20"/>
          <w:szCs w:val="20"/>
        </w:rPr>
      </w:pPr>
      <w:r>
        <w:t xml:space="preserve">Hvis det avvikles flere møter i ulike </w:t>
      </w:r>
      <w:proofErr w:type="gramStart"/>
      <w:r>
        <w:t>utvalg</w:t>
      </w:r>
      <w:proofErr w:type="gramEnd"/>
      <w:r>
        <w:t xml:space="preserve"> får medlemmet/varamedlemmet kun 1 møtegodtgjørelse.</w:t>
      </w:r>
      <w:r w:rsidR="00CA0FA6" w:rsidRPr="00306CDB">
        <w:rPr>
          <w:rFonts w:ascii="Verdana" w:hAnsi="Verdana" w:cs="Times-Roman"/>
          <w:sz w:val="20"/>
          <w:szCs w:val="20"/>
        </w:rPr>
        <w:t xml:space="preserve"> </w:t>
      </w:r>
    </w:p>
    <w:p w14:paraId="5BE869CA" w14:textId="77777777" w:rsidR="00CA0FA6" w:rsidRDefault="00CA0FA6" w:rsidP="00CA0FA6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0"/>
          <w:szCs w:val="20"/>
        </w:rPr>
      </w:pPr>
    </w:p>
    <w:p w14:paraId="53F06B19" w14:textId="434C3DDD" w:rsidR="00CA0FA6" w:rsidRPr="004E7AD4" w:rsidRDefault="00512D5C" w:rsidP="007F416F">
      <w:pPr>
        <w:pStyle w:val="Overskrift1"/>
        <w:numPr>
          <w:ilvl w:val="0"/>
          <w:numId w:val="32"/>
        </w:numPr>
        <w:spacing w:before="0"/>
        <w:rPr>
          <w:color w:val="0070C0"/>
          <w:sz w:val="24"/>
          <w:szCs w:val="24"/>
        </w:rPr>
      </w:pPr>
      <w:r w:rsidRPr="004E7AD4">
        <w:rPr>
          <w:color w:val="0070C0"/>
          <w:sz w:val="24"/>
          <w:szCs w:val="24"/>
        </w:rPr>
        <w:t xml:space="preserve"> </w:t>
      </w:r>
      <w:r w:rsidR="003517D6" w:rsidRPr="004E7AD4">
        <w:rPr>
          <w:color w:val="0070C0"/>
          <w:sz w:val="24"/>
          <w:szCs w:val="24"/>
        </w:rPr>
        <w:t xml:space="preserve"> </w:t>
      </w:r>
      <w:bookmarkStart w:id="7" w:name="_Toc23924483"/>
      <w:r w:rsidR="00E51663" w:rsidRPr="004E7AD4">
        <w:rPr>
          <w:color w:val="0070C0"/>
          <w:sz w:val="24"/>
          <w:szCs w:val="24"/>
        </w:rPr>
        <w:t>Direkte</w:t>
      </w:r>
      <w:r w:rsidR="003517D6" w:rsidRPr="004E7AD4">
        <w:rPr>
          <w:color w:val="0070C0"/>
          <w:sz w:val="24"/>
          <w:szCs w:val="24"/>
        </w:rPr>
        <w:t xml:space="preserve"> </w:t>
      </w:r>
      <w:r w:rsidR="00E51663" w:rsidRPr="004E7AD4">
        <w:rPr>
          <w:color w:val="0070C0"/>
          <w:sz w:val="24"/>
          <w:szCs w:val="24"/>
        </w:rPr>
        <w:t>utgi</w:t>
      </w:r>
      <w:r w:rsidRPr="004E7AD4">
        <w:rPr>
          <w:color w:val="0070C0"/>
          <w:sz w:val="24"/>
          <w:szCs w:val="24"/>
        </w:rPr>
        <w:t>f</w:t>
      </w:r>
      <w:r w:rsidR="00E51663" w:rsidRPr="004E7AD4">
        <w:rPr>
          <w:color w:val="0070C0"/>
          <w:sz w:val="24"/>
          <w:szCs w:val="24"/>
        </w:rPr>
        <w:t>ter forbundet med ivaretakelse a</w:t>
      </w:r>
      <w:r w:rsidR="003517D6" w:rsidRPr="004E7AD4">
        <w:rPr>
          <w:color w:val="0070C0"/>
          <w:sz w:val="24"/>
          <w:szCs w:val="24"/>
        </w:rPr>
        <w:t>v t</w:t>
      </w:r>
      <w:r w:rsidR="00E51663" w:rsidRPr="004E7AD4">
        <w:rPr>
          <w:color w:val="0070C0"/>
          <w:sz w:val="24"/>
          <w:szCs w:val="24"/>
        </w:rPr>
        <w:t>illitsverv</w:t>
      </w:r>
      <w:bookmarkEnd w:id="7"/>
    </w:p>
    <w:p w14:paraId="1E04C4B9" w14:textId="6F1238EA" w:rsidR="00512D5C" w:rsidRPr="00512D5C" w:rsidRDefault="00512D5C" w:rsidP="00512D5C">
      <w:pPr>
        <w:autoSpaceDE w:val="0"/>
        <w:autoSpaceDN w:val="0"/>
        <w:adjustRightInd w:val="0"/>
        <w:spacing w:after="0"/>
        <w:rPr>
          <w:vanish/>
        </w:rPr>
      </w:pPr>
    </w:p>
    <w:p w14:paraId="56A65267" w14:textId="77777777" w:rsidR="00512D5C" w:rsidRPr="00512D5C" w:rsidRDefault="00512D5C" w:rsidP="00512D5C">
      <w:pPr>
        <w:pStyle w:val="Listeavsnit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t>Erstatning for tapt arbeidsinntekt:</w:t>
      </w:r>
    </w:p>
    <w:p w14:paraId="560D95E1" w14:textId="77777777" w:rsidR="00A3798D" w:rsidRPr="00A3798D" w:rsidRDefault="00A3798D" w:rsidP="00A3798D">
      <w:pPr>
        <w:pStyle w:val="Listeavsnitt"/>
        <w:numPr>
          <w:ilvl w:val="2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t xml:space="preserve">Kommunen dekker legitimert tap i arbeidsfortjeneste i forbindelse med utøvelse av kommunale verv, men inntil kr. </w:t>
      </w:r>
      <w:proofErr w:type="gramStart"/>
      <w:r>
        <w:t>2.500,-</w:t>
      </w:r>
      <w:proofErr w:type="gramEnd"/>
      <w:r>
        <w:t xml:space="preserve"> pr. dag.</w:t>
      </w:r>
    </w:p>
    <w:p w14:paraId="623BC77B" w14:textId="77777777" w:rsidR="00A3798D" w:rsidRDefault="00A3798D" w:rsidP="00A3798D">
      <w:pPr>
        <w:pStyle w:val="Listeavsnitt"/>
        <w:autoSpaceDE w:val="0"/>
        <w:autoSpaceDN w:val="0"/>
        <w:adjustRightInd w:val="0"/>
        <w:spacing w:after="0"/>
        <w:ind w:firstLine="0"/>
      </w:pPr>
      <w:r>
        <w:t>Legitimert tap utover dette beløpet kan dekkes etter egen søknad.</w:t>
      </w:r>
    </w:p>
    <w:p w14:paraId="2A60A55B" w14:textId="77777777" w:rsidR="00A3798D" w:rsidRDefault="00A3798D" w:rsidP="00A3798D">
      <w:pPr>
        <w:pStyle w:val="Listeavsnitt"/>
        <w:autoSpaceDE w:val="0"/>
        <w:autoSpaceDN w:val="0"/>
        <w:adjustRightInd w:val="0"/>
        <w:spacing w:after="0"/>
        <w:ind w:firstLine="0"/>
      </w:pPr>
      <w:r>
        <w:t>Tapt arbeidsfortjeneste dekkes ved at arbeidsgiver fakturere kommunen direkte for fraværet.</w:t>
      </w:r>
    </w:p>
    <w:p w14:paraId="092B7A00" w14:textId="77777777" w:rsidR="00A3798D" w:rsidRPr="00A3798D" w:rsidRDefault="00A3798D" w:rsidP="00A3798D">
      <w:pPr>
        <w:pStyle w:val="Listeavsnitt"/>
        <w:numPr>
          <w:ilvl w:val="2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 w:rsidRPr="00A3798D">
        <w:rPr>
          <w:bCs/>
        </w:rPr>
        <w:t>Erstatning til kommunale tillitsvalgte som er næringsdrivende godkjent av skatteetaten etter Skattelovens § 5-30, gis dekning for ulegitimert tap i</w:t>
      </w:r>
      <w:r w:rsidRPr="00A3798D">
        <w:rPr>
          <w:rFonts w:ascii="Verdana" w:hAnsi="Verdana" w:cs="Tahoma"/>
          <w:bCs/>
          <w:sz w:val="20"/>
          <w:szCs w:val="20"/>
        </w:rPr>
        <w:t xml:space="preserve"> ordinær</w:t>
      </w:r>
      <w:r w:rsidRPr="00512D5C">
        <w:t xml:space="preserve"> </w:t>
      </w:r>
      <w:r>
        <w:t xml:space="preserve">arbeidsinntekt og legitimerte utgifter som utøvelsen av vervet nødvendiggjør med inntil kr. 1620,- eller kr. 270,- pr. </w:t>
      </w:r>
      <w:proofErr w:type="gramStart"/>
      <w:r>
        <w:t>time.(</w:t>
      </w:r>
      <w:proofErr w:type="gramEnd"/>
      <w:r>
        <w:t>inntil 6 timers møtedag). Den næringsdrivende må selv dokumentere at virksomheten er registrert i enhetsregistret (organisasjonsnummer), og at det leveres selvangivelse for næringsdrivende.</w:t>
      </w:r>
    </w:p>
    <w:p w14:paraId="3F4BE665" w14:textId="77777777" w:rsidR="00A3798D" w:rsidRPr="00A3798D" w:rsidRDefault="00A3798D" w:rsidP="00A3798D">
      <w:pPr>
        <w:pStyle w:val="Listeavsnitt"/>
        <w:numPr>
          <w:ilvl w:val="2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 w:rsidRPr="00A3798D">
        <w:rPr>
          <w:bCs/>
        </w:rPr>
        <w:t>Erstatning for tapt arbeidsfortjeneste og/eller utgifter til stedfortreder, kan også utbetales til kommunale tillitsvalgte, som på kommunens anmodning deltar i møter og kurs.</w:t>
      </w:r>
    </w:p>
    <w:p w14:paraId="25741812" w14:textId="45E0644E" w:rsidR="00A3798D" w:rsidRPr="00A3798D" w:rsidRDefault="00A3798D" w:rsidP="00A3798D">
      <w:pPr>
        <w:pStyle w:val="Listeavsnitt"/>
        <w:numPr>
          <w:ilvl w:val="2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t xml:space="preserve">Kommunale tillitsvalgte som er hjemmeværende, pensjonister, </w:t>
      </w:r>
      <w:proofErr w:type="spellStart"/>
      <w:r>
        <w:t>freelancere</w:t>
      </w:r>
      <w:proofErr w:type="spellEnd"/>
      <w:r>
        <w:t xml:space="preserve">, studenter </w:t>
      </w:r>
      <w:proofErr w:type="spellStart"/>
      <w:r>
        <w:t>m.v</w:t>
      </w:r>
      <w:proofErr w:type="spellEnd"/>
      <w:r>
        <w:t>., gis en godtgjørelse på kr. 500,- pr. møtedag for ulegitimerte tap.</w:t>
      </w:r>
      <w:r w:rsidR="00C04A59">
        <w:t xml:space="preserve"> Dette </w:t>
      </w:r>
      <w:r w:rsidR="007F416F">
        <w:t>utbetales etter søknad</w:t>
      </w:r>
      <w:r w:rsidR="00C04A59">
        <w:t>.</w:t>
      </w:r>
    </w:p>
    <w:p w14:paraId="12A8FF1F" w14:textId="77777777" w:rsidR="00A3798D" w:rsidRPr="00A3798D" w:rsidRDefault="00A3798D" w:rsidP="00A3798D">
      <w:pPr>
        <w:pStyle w:val="Listeavsnitt"/>
        <w:numPr>
          <w:ilvl w:val="2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t>Erstatning for tapt arbeidsfortjeneste ifølge dette reglementet utbetales uavhengig av, og i tillegg til eventuell møtegodtgjørelse som det utførte tillitsverv måtte berettige til.</w:t>
      </w:r>
    </w:p>
    <w:p w14:paraId="1C03FF72" w14:textId="1681F537" w:rsidR="00A3798D" w:rsidRPr="00A3798D" w:rsidRDefault="00A3798D" w:rsidP="00A3798D">
      <w:pPr>
        <w:pStyle w:val="Listeavsnitt"/>
        <w:numPr>
          <w:ilvl w:val="2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t>Legitimerte utgifter til barnepass og pass av syke og eldre dekkes. Ulegitimerte utgifter til barnepass og pass av syke og eldre dekkes med kr. 100,- pr. stedfortreder time.</w:t>
      </w:r>
    </w:p>
    <w:p w14:paraId="06B51EAE" w14:textId="77777777" w:rsidR="00A3798D" w:rsidRPr="00A3798D" w:rsidRDefault="00A3798D" w:rsidP="00A3798D">
      <w:pPr>
        <w:pStyle w:val="Listeavsnitt"/>
        <w:autoSpaceDE w:val="0"/>
        <w:autoSpaceDN w:val="0"/>
        <w:adjustRightInd w:val="0"/>
        <w:spacing w:after="0"/>
        <w:ind w:firstLine="0"/>
        <w:rPr>
          <w:rFonts w:ascii="Verdana" w:hAnsi="Verdana"/>
          <w:b/>
          <w:bCs/>
          <w:sz w:val="20"/>
          <w:szCs w:val="20"/>
        </w:rPr>
      </w:pPr>
    </w:p>
    <w:p w14:paraId="60C56E3F" w14:textId="77777777" w:rsidR="00BF3540" w:rsidRPr="001122E5" w:rsidRDefault="00BF3540" w:rsidP="00BF3540">
      <w:pPr>
        <w:pStyle w:val="NormalWeb"/>
        <w:spacing w:before="0" w:beforeAutospacing="0" w:after="0" w:afterAutospacing="0"/>
        <w:rPr>
          <w:rFonts w:ascii="Verdana" w:hAnsi="Verdana" w:cs="Tahoma"/>
          <w:bCs/>
          <w:sz w:val="20"/>
          <w:szCs w:val="20"/>
        </w:rPr>
      </w:pPr>
    </w:p>
    <w:p w14:paraId="47626197" w14:textId="3F80B868" w:rsidR="00A3798D" w:rsidRPr="00A3798D" w:rsidRDefault="003517D6" w:rsidP="00A3798D">
      <w:pPr>
        <w:pStyle w:val="Overskrift1"/>
        <w:numPr>
          <w:ilvl w:val="0"/>
          <w:numId w:val="32"/>
        </w:numPr>
        <w:spacing w:before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</w:t>
      </w:r>
      <w:bookmarkStart w:id="8" w:name="_Toc23924484"/>
      <w:r w:rsidR="00A3798D">
        <w:rPr>
          <w:color w:val="0070C0"/>
          <w:sz w:val="24"/>
          <w:szCs w:val="24"/>
        </w:rPr>
        <w:t>Skyssgodtgjørelse</w:t>
      </w:r>
      <w:bookmarkEnd w:id="8"/>
    </w:p>
    <w:p w14:paraId="1CDF4411" w14:textId="77777777" w:rsidR="00A3798D" w:rsidRPr="00A3798D" w:rsidRDefault="00A3798D" w:rsidP="00A3798D">
      <w:pPr>
        <w:pStyle w:val="Listeavsnit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t>Utgifter i forbindelse med reise til og fra kommunale møter, dekkes etter de til enhver tid gjeldende satser i det offentlige reiseregulativ. Kravet må leveres innen 15. november samme år. Ved lengre reiser avtales reisemåte med ordfører/politisk og krav leveres fortløpende og senest før 15. påfølgende mnd.</w:t>
      </w:r>
    </w:p>
    <w:p w14:paraId="76B4A832" w14:textId="77777777" w:rsidR="00CA0FA6" w:rsidRPr="008E5286" w:rsidRDefault="00CA0FA6" w:rsidP="00CA0FA6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0"/>
          <w:szCs w:val="20"/>
        </w:rPr>
      </w:pPr>
    </w:p>
    <w:p w14:paraId="0BA573A3" w14:textId="79FEB30B" w:rsidR="00CA0FA6" w:rsidRDefault="003517D6" w:rsidP="00A3798D">
      <w:pPr>
        <w:pStyle w:val="Overskrift1"/>
        <w:numPr>
          <w:ilvl w:val="0"/>
          <w:numId w:val="32"/>
        </w:numPr>
        <w:spacing w:before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</w:t>
      </w:r>
      <w:bookmarkStart w:id="9" w:name="_Toc23924485"/>
      <w:r w:rsidR="00A3798D">
        <w:rPr>
          <w:color w:val="0070C0"/>
          <w:sz w:val="24"/>
          <w:szCs w:val="24"/>
        </w:rPr>
        <w:t>Diett/bespisning</w:t>
      </w:r>
      <w:bookmarkEnd w:id="9"/>
    </w:p>
    <w:p w14:paraId="0202A5AE" w14:textId="2273C7DE" w:rsidR="00A3798D" w:rsidRPr="00A3798D" w:rsidRDefault="00A3798D" w:rsidP="00A3798D">
      <w:pPr>
        <w:pStyle w:val="Listeavsnit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t>Det dekkes diett/bespisning etter følgende satser:</w:t>
      </w:r>
    </w:p>
    <w:p w14:paraId="5DF0586E" w14:textId="77777777" w:rsidR="003517D6" w:rsidRPr="00A3798D" w:rsidRDefault="003517D6" w:rsidP="003517D6">
      <w:pPr>
        <w:pStyle w:val="Listeavsnitt"/>
        <w:numPr>
          <w:ilvl w:val="2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lastRenderedPageBreak/>
        <w:t xml:space="preserve">Ved møter som varer inntil 3 timer kan det gis en enkel servering for </w:t>
      </w:r>
      <w:proofErr w:type="spellStart"/>
      <w:r>
        <w:t>inntill</w:t>
      </w:r>
      <w:proofErr w:type="spellEnd"/>
      <w:r>
        <w:t xml:space="preserve"> kr. 75,- pr. person. Ved møter utover 3 timer kan det gis servering for inntil kr. 150,- pr. person.</w:t>
      </w:r>
    </w:p>
    <w:p w14:paraId="687D670C" w14:textId="77777777" w:rsidR="003517D6" w:rsidRPr="003517D6" w:rsidRDefault="003517D6" w:rsidP="003517D6">
      <w:pPr>
        <w:pStyle w:val="Listeavsnitt"/>
        <w:autoSpaceDE w:val="0"/>
        <w:autoSpaceDN w:val="0"/>
        <w:adjustRightInd w:val="0"/>
        <w:spacing w:after="0"/>
        <w:ind w:firstLine="0"/>
      </w:pPr>
      <w:r>
        <w:t>Ved spesielle anledninger kan disse satser fravikes (julearrangement og lignende)</w:t>
      </w:r>
    </w:p>
    <w:p w14:paraId="698C71F7" w14:textId="176D038D" w:rsidR="003517D6" w:rsidRPr="003517D6" w:rsidRDefault="003517D6" w:rsidP="00A3798D">
      <w:pPr>
        <w:pStyle w:val="Listeavsnitt"/>
        <w:numPr>
          <w:ilvl w:val="2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t>Ved deltakelse i eksterne kurs/konferanser og møter, utbetales diett i henhold til det offentlige reiseregulativ.</w:t>
      </w:r>
    </w:p>
    <w:p w14:paraId="42B3DE35" w14:textId="77777777" w:rsidR="003517D6" w:rsidRPr="003517D6" w:rsidRDefault="003517D6" w:rsidP="003517D6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</w:p>
    <w:p w14:paraId="78E7A056" w14:textId="3395F06C" w:rsidR="003517D6" w:rsidRPr="003517D6" w:rsidRDefault="004E7AD4" w:rsidP="003517D6">
      <w:pPr>
        <w:pStyle w:val="Overskrift1"/>
        <w:numPr>
          <w:ilvl w:val="0"/>
          <w:numId w:val="32"/>
        </w:numPr>
        <w:spacing w:before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</w:t>
      </w:r>
      <w:bookmarkStart w:id="10" w:name="_Toc23924486"/>
      <w:r w:rsidR="003517D6">
        <w:rPr>
          <w:color w:val="0070C0"/>
          <w:sz w:val="24"/>
          <w:szCs w:val="24"/>
        </w:rPr>
        <w:t>Utbetaling</w:t>
      </w:r>
      <w:bookmarkEnd w:id="10"/>
    </w:p>
    <w:p w14:paraId="6CC9B19C" w14:textId="0167C9DC" w:rsidR="003517D6" w:rsidRPr="003517D6" w:rsidRDefault="003517D6" w:rsidP="003517D6">
      <w:pPr>
        <w:pStyle w:val="Listeavsnit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t xml:space="preserve">Krav om kjøregodtgjørelse, tapt arbeidsfortjeneste o.l. Sendes politisk sekretariat for anvisning og utbetaling. I reiseregninger der det </w:t>
      </w:r>
      <w:proofErr w:type="gramStart"/>
      <w:r>
        <w:t>fremkommer</w:t>
      </w:r>
      <w:proofErr w:type="gramEnd"/>
      <w:r>
        <w:t xml:space="preserve"> tvil eller uenighet om kravets legitimitet, legges anvisningsgrunnlaget frem for reglementsutvalget før utbetaling skjer. Møtegodtgjørelse sendes ikke inn da denne oversikten føres ved politisk sekretariat.</w:t>
      </w:r>
    </w:p>
    <w:p w14:paraId="3FEEF64C" w14:textId="77777777" w:rsidR="003517D6" w:rsidRDefault="003517D6" w:rsidP="002469A3">
      <w:pPr>
        <w:spacing w:after="0" w:line="240" w:lineRule="auto"/>
        <w:rPr>
          <w:rFonts w:ascii="Verdana" w:hAnsi="Verdana" w:cs="Times-Roman"/>
          <w:sz w:val="20"/>
          <w:szCs w:val="20"/>
        </w:rPr>
      </w:pPr>
    </w:p>
    <w:p w14:paraId="1CD5B043" w14:textId="04AC3478" w:rsidR="00183568" w:rsidRDefault="00C04A59" w:rsidP="00B17F87">
      <w:pPr>
        <w:pStyle w:val="Overskrift1"/>
        <w:numPr>
          <w:ilvl w:val="0"/>
          <w:numId w:val="32"/>
        </w:numPr>
        <w:spacing w:before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</w:t>
      </w:r>
      <w:bookmarkStart w:id="11" w:name="_Toc23924487"/>
      <w:r w:rsidR="00B17F87">
        <w:rPr>
          <w:color w:val="0070C0"/>
          <w:sz w:val="24"/>
          <w:szCs w:val="24"/>
        </w:rPr>
        <w:t>Iverksettelse</w:t>
      </w:r>
      <w:bookmarkEnd w:id="11"/>
    </w:p>
    <w:p w14:paraId="14D0DDD4" w14:textId="4FA7E576" w:rsidR="00B17F87" w:rsidRPr="00A3798D" w:rsidRDefault="00B17F87" w:rsidP="00B17F87">
      <w:pPr>
        <w:pStyle w:val="Listeavsnit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>
        <w:t>Forskriften gjelder fra 23.10.19</w:t>
      </w:r>
    </w:p>
    <w:p w14:paraId="4FA6ADE4" w14:textId="070A9D7B" w:rsidR="00B17F87" w:rsidRPr="00B17F87" w:rsidRDefault="00B17F87" w:rsidP="00B17F87"/>
    <w:p w14:paraId="20FFE07F" w14:textId="77777777" w:rsidR="008541A3" w:rsidRPr="00E84C5B" w:rsidRDefault="00E84C5B" w:rsidP="00E84C5B">
      <w:pPr>
        <w:tabs>
          <w:tab w:val="left" w:pos="4070"/>
        </w:tabs>
      </w:pPr>
      <w:r w:rsidRPr="00E84C5B">
        <w:tab/>
      </w:r>
    </w:p>
    <w:sectPr w:rsidR="008541A3" w:rsidRPr="00E84C5B" w:rsidSect="004E7AD4">
      <w:headerReference w:type="default" r:id="rId11"/>
      <w:footerReference w:type="default" r:id="rId12"/>
      <w:pgSz w:w="11906" w:h="16838"/>
      <w:pgMar w:top="1418" w:right="1274" w:bottom="1843" w:left="1134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9E1B7" w14:textId="77777777" w:rsidR="00230E8F" w:rsidRDefault="00230E8F" w:rsidP="00170F83">
      <w:pPr>
        <w:spacing w:after="0" w:line="240" w:lineRule="auto"/>
      </w:pPr>
      <w:r>
        <w:separator/>
      </w:r>
    </w:p>
  </w:endnote>
  <w:endnote w:type="continuationSeparator" w:id="0">
    <w:p w14:paraId="6F38822E" w14:textId="77777777" w:rsidR="00230E8F" w:rsidRDefault="00230E8F" w:rsidP="0017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8989" w14:textId="77777777" w:rsidR="00230E8F" w:rsidRDefault="00230E8F" w:rsidP="00794C6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C8067" w14:textId="6BA84CD6" w:rsidR="00230E8F" w:rsidRPr="00794C63" w:rsidRDefault="00230E8F" w:rsidP="00E84C5B">
    <w:pPr>
      <w:tabs>
        <w:tab w:val="center" w:pos="4536"/>
        <w:tab w:val="right" w:pos="9498"/>
      </w:tabs>
      <w:rPr>
        <w:rFonts w:ascii="Verdana" w:hAnsi="Verdana"/>
        <w:color w:val="1F497D" w:themeColor="text2"/>
        <w:sz w:val="16"/>
        <w:szCs w:val="16"/>
      </w:rPr>
    </w:pPr>
    <w:r>
      <w:rPr>
        <w:rFonts w:ascii="Verdana" w:hAnsi="Verdana"/>
        <w:noProof/>
        <w:color w:val="1F497D" w:themeColor="text2"/>
        <w:sz w:val="16"/>
        <w:szCs w:val="16"/>
      </w:rPr>
      <w:drawing>
        <wp:anchor distT="0" distB="0" distL="114300" distR="114300" simplePos="0" relativeHeight="251659264" behindDoc="1" locked="0" layoutInCell="1" allowOverlap="1" wp14:anchorId="42C5CE6A" wp14:editId="7415E91F">
          <wp:simplePos x="0" y="0"/>
          <wp:positionH relativeFrom="column">
            <wp:posOffset>-877824</wp:posOffset>
          </wp:positionH>
          <wp:positionV relativeFrom="paragraph">
            <wp:posOffset>-456311</wp:posOffset>
          </wp:positionV>
          <wp:extent cx="7519670" cy="708660"/>
          <wp:effectExtent l="0" t="0" r="5080" b="0"/>
          <wp:wrapTight wrapText="bothSides">
            <wp:wrapPolygon edited="0">
              <wp:start x="0" y="0"/>
              <wp:lineTo x="0" y="20903"/>
              <wp:lineTo x="21560" y="20903"/>
              <wp:lineTo x="21560" y="0"/>
              <wp:lineTo x="0" y="0"/>
            </wp:wrapPolygon>
          </wp:wrapTight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torgha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1F497D" w:themeColor="text2"/>
        <w:sz w:val="16"/>
        <w:szCs w:val="16"/>
      </w:rPr>
      <w:br/>
      <w:t xml:space="preserve"> </w:t>
    </w:r>
    <w:r>
      <w:rPr>
        <w:rFonts w:ascii="Verdana" w:hAnsi="Verdana"/>
        <w:color w:val="1F497D" w:themeColor="text2"/>
        <w:sz w:val="16"/>
        <w:szCs w:val="16"/>
      </w:rPr>
      <w:tab/>
    </w:r>
    <w:sdt>
      <w:sdtPr>
        <w:rPr>
          <w:rFonts w:ascii="Verdana" w:hAnsi="Verdana"/>
          <w:color w:val="1F497D" w:themeColor="text2"/>
          <w:sz w:val="16"/>
          <w:szCs w:val="16"/>
        </w:rPr>
        <w:alias w:val="Tittel"/>
        <w:tag w:val=""/>
        <w:id w:val="-139535403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Verdana" w:hAnsi="Verdana"/>
            <w:color w:val="1F497D" w:themeColor="text2"/>
            <w:sz w:val="16"/>
            <w:szCs w:val="16"/>
          </w:rPr>
          <w:t>Forskrift – godtgjørelse ved kommunale ombuds- og tillitsverv.</w:t>
        </w:r>
      </w:sdtContent>
    </w:sdt>
    <w:r w:rsidRPr="0005784F">
      <w:rPr>
        <w:rFonts w:ascii="Verdana" w:hAnsi="Verdana"/>
        <w:color w:val="1F497D" w:themeColor="text2"/>
        <w:sz w:val="16"/>
        <w:szCs w:val="16"/>
      </w:rPr>
      <w:t xml:space="preserve"> | </w:t>
    </w:r>
    <w:r>
      <w:rPr>
        <w:rFonts w:ascii="Verdana" w:hAnsi="Verdana"/>
        <w:color w:val="1F497D" w:themeColor="text2"/>
        <w:sz w:val="16"/>
        <w:szCs w:val="16"/>
      </w:rPr>
      <w:t>Brønnøy</w:t>
    </w:r>
    <w:r w:rsidRPr="0005784F">
      <w:rPr>
        <w:rFonts w:ascii="Verdana" w:hAnsi="Verdana"/>
        <w:color w:val="1F497D" w:themeColor="text2"/>
        <w:sz w:val="16"/>
        <w:szCs w:val="16"/>
      </w:rPr>
      <w:t xml:space="preserve"> kommune</w:t>
    </w:r>
    <w:r>
      <w:rPr>
        <w:rFonts w:ascii="Verdana" w:hAnsi="Verdana"/>
        <w:color w:val="1F497D" w:themeColor="text2"/>
        <w:sz w:val="16"/>
        <w:szCs w:val="16"/>
      </w:rPr>
      <w:tab/>
    </w:r>
    <w:r w:rsidRPr="00794C63">
      <w:rPr>
        <w:rFonts w:ascii="Verdana" w:hAnsi="Verdana"/>
        <w:color w:val="1F497D" w:themeColor="text2"/>
        <w:sz w:val="16"/>
        <w:szCs w:val="16"/>
      </w:rPr>
      <w:fldChar w:fldCharType="begin"/>
    </w:r>
    <w:r w:rsidRPr="00794C63">
      <w:rPr>
        <w:rFonts w:ascii="Verdana" w:hAnsi="Verdana"/>
        <w:color w:val="1F497D" w:themeColor="text2"/>
        <w:sz w:val="16"/>
        <w:szCs w:val="16"/>
      </w:rPr>
      <w:instrText xml:space="preserve"> PAGE  \* Arabic  \* MERGEFORMAT </w:instrText>
    </w:r>
    <w:r w:rsidRPr="00794C63">
      <w:rPr>
        <w:rFonts w:ascii="Verdana" w:hAnsi="Verdana"/>
        <w:color w:val="1F497D" w:themeColor="text2"/>
        <w:sz w:val="16"/>
        <w:szCs w:val="16"/>
      </w:rPr>
      <w:fldChar w:fldCharType="separate"/>
    </w:r>
    <w:r>
      <w:rPr>
        <w:rFonts w:ascii="Verdana" w:hAnsi="Verdana"/>
        <w:noProof/>
        <w:color w:val="1F497D" w:themeColor="text2"/>
        <w:sz w:val="16"/>
        <w:szCs w:val="16"/>
      </w:rPr>
      <w:t>3</w:t>
    </w:r>
    <w:r w:rsidRPr="00794C63">
      <w:rPr>
        <w:rFonts w:ascii="Verdana" w:hAnsi="Verdana"/>
        <w:color w:val="1F497D" w:themeColor="text2"/>
        <w:sz w:val="16"/>
        <w:szCs w:val="16"/>
      </w:rPr>
      <w:fldChar w:fldCharType="end"/>
    </w:r>
    <w:r w:rsidRPr="00794C63">
      <w:rPr>
        <w:rFonts w:ascii="Verdana" w:hAnsi="Verdana"/>
        <w:color w:val="1F497D" w:themeColor="text2"/>
        <w:sz w:val="16"/>
        <w:szCs w:val="16"/>
      </w:rPr>
      <w:t xml:space="preserve"> av </w:t>
    </w:r>
    <w:r w:rsidRPr="00794C63">
      <w:rPr>
        <w:rFonts w:ascii="Verdana" w:hAnsi="Verdana"/>
        <w:color w:val="1F497D" w:themeColor="text2"/>
        <w:sz w:val="16"/>
        <w:szCs w:val="16"/>
      </w:rPr>
      <w:fldChar w:fldCharType="begin"/>
    </w:r>
    <w:r w:rsidRPr="00794C63">
      <w:rPr>
        <w:rFonts w:ascii="Verdana" w:hAnsi="Verdana"/>
        <w:color w:val="1F497D" w:themeColor="text2"/>
        <w:sz w:val="16"/>
        <w:szCs w:val="16"/>
      </w:rPr>
      <w:instrText xml:space="preserve"> NUMPAGES  \* Arabic  \* MERGEFORMAT </w:instrText>
    </w:r>
    <w:r w:rsidRPr="00794C63">
      <w:rPr>
        <w:rFonts w:ascii="Verdana" w:hAnsi="Verdana"/>
        <w:color w:val="1F497D" w:themeColor="text2"/>
        <w:sz w:val="16"/>
        <w:szCs w:val="16"/>
      </w:rPr>
      <w:fldChar w:fldCharType="separate"/>
    </w:r>
    <w:r>
      <w:rPr>
        <w:rFonts w:ascii="Verdana" w:hAnsi="Verdana"/>
        <w:noProof/>
        <w:color w:val="1F497D" w:themeColor="text2"/>
        <w:sz w:val="16"/>
        <w:szCs w:val="16"/>
      </w:rPr>
      <w:t>14</w:t>
    </w:r>
    <w:r w:rsidRPr="00794C63">
      <w:rPr>
        <w:rFonts w:ascii="Verdana" w:hAnsi="Verdana"/>
        <w:color w:val="1F497D" w:themeColor="text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43697" w14:textId="77777777" w:rsidR="00230E8F" w:rsidRDefault="00230E8F" w:rsidP="00170F83">
      <w:pPr>
        <w:spacing w:after="0" w:line="240" w:lineRule="auto"/>
      </w:pPr>
      <w:r>
        <w:separator/>
      </w:r>
    </w:p>
  </w:footnote>
  <w:footnote w:type="continuationSeparator" w:id="0">
    <w:p w14:paraId="59690CC8" w14:textId="77777777" w:rsidR="00230E8F" w:rsidRDefault="00230E8F" w:rsidP="0017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7A153" w14:textId="77777777" w:rsidR="00230E8F" w:rsidRDefault="00230E8F" w:rsidP="003D6E4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E9AC9" w14:textId="57BA79FA" w:rsidR="00230E8F" w:rsidRDefault="00230E8F" w:rsidP="000B7CAF">
    <w:pPr>
      <w:pStyle w:val="Topptekst"/>
    </w:pPr>
    <w:r>
      <w:rPr>
        <w:noProof/>
      </w:rPr>
      <w:drawing>
        <wp:inline distT="0" distB="0" distL="0" distR="0" wp14:anchorId="27E649DB" wp14:editId="4E8DF52C">
          <wp:extent cx="2242268" cy="999503"/>
          <wp:effectExtent l="0" t="0" r="571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 med kommunenav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787" cy="1023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555E" w14:textId="77777777" w:rsidR="00230E8F" w:rsidRDefault="00230E8F" w:rsidP="003D6E47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63F5A74"/>
    <w:multiLevelType w:val="hybridMultilevel"/>
    <w:tmpl w:val="BD2021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7A1A"/>
    <w:multiLevelType w:val="hybridMultilevel"/>
    <w:tmpl w:val="11ECED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6696F"/>
    <w:multiLevelType w:val="hybridMultilevel"/>
    <w:tmpl w:val="824055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64E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93D07"/>
    <w:multiLevelType w:val="multilevel"/>
    <w:tmpl w:val="0F0C92C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3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sz w:val="23"/>
      </w:rPr>
    </w:lvl>
  </w:abstractNum>
  <w:abstractNum w:abstractNumId="5" w15:restartNumberingAfterBreak="0">
    <w:nsid w:val="1DFB4CA2"/>
    <w:multiLevelType w:val="hybridMultilevel"/>
    <w:tmpl w:val="4E9E6CF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5B9D"/>
    <w:multiLevelType w:val="hybridMultilevel"/>
    <w:tmpl w:val="AC82754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47A8A"/>
    <w:multiLevelType w:val="hybridMultilevel"/>
    <w:tmpl w:val="8514E1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57D76"/>
    <w:multiLevelType w:val="hybridMultilevel"/>
    <w:tmpl w:val="C5EEE636"/>
    <w:lvl w:ilvl="0" w:tplc="C1F0C0A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7E7084"/>
    <w:multiLevelType w:val="hybridMultilevel"/>
    <w:tmpl w:val="8D185A5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DB00E3"/>
    <w:multiLevelType w:val="hybridMultilevel"/>
    <w:tmpl w:val="4EEAF6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22B4B"/>
    <w:multiLevelType w:val="hybridMultilevel"/>
    <w:tmpl w:val="62942BEA"/>
    <w:lvl w:ilvl="0" w:tplc="2DBE2E4C">
      <w:numFmt w:val="bullet"/>
      <w:lvlText w:val="-"/>
      <w:lvlJc w:val="left"/>
      <w:pPr>
        <w:ind w:left="360" w:hanging="360"/>
      </w:pPr>
      <w:rPr>
        <w:rFonts w:ascii="Verdana" w:eastAsiaTheme="minorHAnsi" w:hAnsi="Verdana" w:cs="Times-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152D2"/>
    <w:multiLevelType w:val="hybridMultilevel"/>
    <w:tmpl w:val="FC282F4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DA7342"/>
    <w:multiLevelType w:val="hybridMultilevel"/>
    <w:tmpl w:val="FC60BAD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062F1"/>
    <w:multiLevelType w:val="hybridMultilevel"/>
    <w:tmpl w:val="F5B84096"/>
    <w:lvl w:ilvl="0" w:tplc="6DBC5BA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0C4806"/>
    <w:multiLevelType w:val="hybridMultilevel"/>
    <w:tmpl w:val="805CB81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F1F18"/>
    <w:multiLevelType w:val="multilevel"/>
    <w:tmpl w:val="6EC87AC8"/>
    <w:lvl w:ilvl="0">
      <w:start w:val="6"/>
      <w:numFmt w:val="decimal"/>
      <w:lvlText w:val="%1"/>
      <w:lvlJc w:val="left"/>
      <w:pPr>
        <w:ind w:left="360" w:hanging="360"/>
      </w:pPr>
      <w:rPr>
        <w:rFonts w:cs="Times-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-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-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-Roman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-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-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-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-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-Roman" w:hint="default"/>
        <w:b w:val="0"/>
      </w:rPr>
    </w:lvl>
  </w:abstractNum>
  <w:abstractNum w:abstractNumId="17" w15:restartNumberingAfterBreak="0">
    <w:nsid w:val="54737802"/>
    <w:multiLevelType w:val="multilevel"/>
    <w:tmpl w:val="581E07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5E6A49"/>
    <w:multiLevelType w:val="hybridMultilevel"/>
    <w:tmpl w:val="97A28A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8F"/>
    <w:multiLevelType w:val="hybridMultilevel"/>
    <w:tmpl w:val="780A8BC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2F229F"/>
    <w:multiLevelType w:val="multilevel"/>
    <w:tmpl w:val="F7EEEC96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3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sz w:val="23"/>
      </w:rPr>
    </w:lvl>
  </w:abstractNum>
  <w:abstractNum w:abstractNumId="21" w15:restartNumberingAfterBreak="0">
    <w:nsid w:val="5ADB4D2B"/>
    <w:multiLevelType w:val="hybridMultilevel"/>
    <w:tmpl w:val="5CE88DE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187913"/>
    <w:multiLevelType w:val="hybridMultilevel"/>
    <w:tmpl w:val="2DE640B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364AA"/>
    <w:multiLevelType w:val="hybridMultilevel"/>
    <w:tmpl w:val="3692E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17B"/>
    <w:multiLevelType w:val="hybridMultilevel"/>
    <w:tmpl w:val="ED7EAD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733ED"/>
    <w:multiLevelType w:val="hybridMultilevel"/>
    <w:tmpl w:val="AAB0916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8C4C0E"/>
    <w:multiLevelType w:val="hybridMultilevel"/>
    <w:tmpl w:val="13EA5A3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2639D2"/>
    <w:multiLevelType w:val="multilevel"/>
    <w:tmpl w:val="F7EEEC9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3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sz w:val="23"/>
      </w:rPr>
    </w:lvl>
  </w:abstractNum>
  <w:abstractNum w:abstractNumId="28" w15:restartNumberingAfterBreak="0">
    <w:nsid w:val="74A360A1"/>
    <w:multiLevelType w:val="hybridMultilevel"/>
    <w:tmpl w:val="BC6CEC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31B52"/>
    <w:multiLevelType w:val="hybridMultilevel"/>
    <w:tmpl w:val="BE6A966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960289"/>
    <w:multiLevelType w:val="multilevel"/>
    <w:tmpl w:val="B380E5A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3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bCs w:val="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sz w:val="23"/>
      </w:rPr>
    </w:lvl>
  </w:abstractNum>
  <w:abstractNum w:abstractNumId="31" w15:restartNumberingAfterBreak="0">
    <w:nsid w:val="7A2E782F"/>
    <w:multiLevelType w:val="hybridMultilevel"/>
    <w:tmpl w:val="143A5DB0"/>
    <w:lvl w:ilvl="0" w:tplc="B592295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FBC211C"/>
    <w:multiLevelType w:val="hybridMultilevel"/>
    <w:tmpl w:val="E070CC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5"/>
  </w:num>
  <w:num w:numId="4">
    <w:abstractNumId w:val="32"/>
  </w:num>
  <w:num w:numId="5">
    <w:abstractNumId w:val="13"/>
  </w:num>
  <w:num w:numId="6">
    <w:abstractNumId w:val="21"/>
  </w:num>
  <w:num w:numId="7">
    <w:abstractNumId w:val="12"/>
  </w:num>
  <w:num w:numId="8">
    <w:abstractNumId w:val="2"/>
  </w:num>
  <w:num w:numId="9">
    <w:abstractNumId w:val="22"/>
  </w:num>
  <w:num w:numId="10">
    <w:abstractNumId w:val="6"/>
  </w:num>
  <w:num w:numId="11">
    <w:abstractNumId w:val="29"/>
  </w:num>
  <w:num w:numId="12">
    <w:abstractNumId w:val="7"/>
  </w:num>
  <w:num w:numId="13">
    <w:abstractNumId w:val="19"/>
  </w:num>
  <w:num w:numId="14">
    <w:abstractNumId w:val="3"/>
  </w:num>
  <w:num w:numId="15">
    <w:abstractNumId w:val="25"/>
  </w:num>
  <w:num w:numId="16">
    <w:abstractNumId w:val="5"/>
  </w:num>
  <w:num w:numId="17">
    <w:abstractNumId w:val="26"/>
  </w:num>
  <w:num w:numId="18">
    <w:abstractNumId w:val="10"/>
  </w:num>
  <w:num w:numId="19">
    <w:abstractNumId w:val="18"/>
  </w:num>
  <w:num w:numId="20">
    <w:abstractNumId w:val="1"/>
  </w:num>
  <w:num w:numId="21">
    <w:abstractNumId w:val="23"/>
  </w:num>
  <w:num w:numId="22">
    <w:abstractNumId w:val="11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5">
    <w:abstractNumId w:val="24"/>
  </w:num>
  <w:num w:numId="26">
    <w:abstractNumId w:val="17"/>
  </w:num>
  <w:num w:numId="27">
    <w:abstractNumId w:val="4"/>
  </w:num>
  <w:num w:numId="28">
    <w:abstractNumId w:val="27"/>
  </w:num>
  <w:num w:numId="29">
    <w:abstractNumId w:val="20"/>
  </w:num>
  <w:num w:numId="30">
    <w:abstractNumId w:val="30"/>
  </w:num>
  <w:num w:numId="31">
    <w:abstractNumId w:val="8"/>
  </w:num>
  <w:num w:numId="32">
    <w:abstractNumId w:val="1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A6"/>
    <w:rsid w:val="00004499"/>
    <w:rsid w:val="0005784F"/>
    <w:rsid w:val="00060B87"/>
    <w:rsid w:val="0006483F"/>
    <w:rsid w:val="0008133C"/>
    <w:rsid w:val="000B7CAF"/>
    <w:rsid w:val="000C0787"/>
    <w:rsid w:val="000D5E06"/>
    <w:rsid w:val="001122E5"/>
    <w:rsid w:val="00115419"/>
    <w:rsid w:val="0013121C"/>
    <w:rsid w:val="00135924"/>
    <w:rsid w:val="00146172"/>
    <w:rsid w:val="00150BE8"/>
    <w:rsid w:val="001519BF"/>
    <w:rsid w:val="00167F23"/>
    <w:rsid w:val="00170F83"/>
    <w:rsid w:val="00183568"/>
    <w:rsid w:val="00207795"/>
    <w:rsid w:val="002121FF"/>
    <w:rsid w:val="00224253"/>
    <w:rsid w:val="00230E8F"/>
    <w:rsid w:val="002469A3"/>
    <w:rsid w:val="002662F5"/>
    <w:rsid w:val="0026686D"/>
    <w:rsid w:val="00285218"/>
    <w:rsid w:val="002D13B1"/>
    <w:rsid w:val="002D751C"/>
    <w:rsid w:val="002E3960"/>
    <w:rsid w:val="002E6130"/>
    <w:rsid w:val="00303D5A"/>
    <w:rsid w:val="00306CDB"/>
    <w:rsid w:val="003227EB"/>
    <w:rsid w:val="0034575F"/>
    <w:rsid w:val="003517D6"/>
    <w:rsid w:val="003A3782"/>
    <w:rsid w:val="003C58A7"/>
    <w:rsid w:val="003D1136"/>
    <w:rsid w:val="003D6E47"/>
    <w:rsid w:val="00416D71"/>
    <w:rsid w:val="00432B36"/>
    <w:rsid w:val="004364C9"/>
    <w:rsid w:val="004539AB"/>
    <w:rsid w:val="00472D43"/>
    <w:rsid w:val="00475E26"/>
    <w:rsid w:val="004861FD"/>
    <w:rsid w:val="004A1B29"/>
    <w:rsid w:val="004A79DA"/>
    <w:rsid w:val="004B2B65"/>
    <w:rsid w:val="004B72AB"/>
    <w:rsid w:val="004C6F21"/>
    <w:rsid w:val="004E7AD4"/>
    <w:rsid w:val="00505E30"/>
    <w:rsid w:val="00512D5C"/>
    <w:rsid w:val="00514B9B"/>
    <w:rsid w:val="005324F4"/>
    <w:rsid w:val="0054195B"/>
    <w:rsid w:val="005734A9"/>
    <w:rsid w:val="005B0A84"/>
    <w:rsid w:val="005C7309"/>
    <w:rsid w:val="00633967"/>
    <w:rsid w:val="006473F6"/>
    <w:rsid w:val="0065572E"/>
    <w:rsid w:val="0066647A"/>
    <w:rsid w:val="0068271D"/>
    <w:rsid w:val="006A3ECB"/>
    <w:rsid w:val="006A746D"/>
    <w:rsid w:val="006B1DAB"/>
    <w:rsid w:val="006C5335"/>
    <w:rsid w:val="006D5E82"/>
    <w:rsid w:val="006E6EFF"/>
    <w:rsid w:val="006F07F8"/>
    <w:rsid w:val="00733383"/>
    <w:rsid w:val="00742B24"/>
    <w:rsid w:val="00764EFE"/>
    <w:rsid w:val="0076527E"/>
    <w:rsid w:val="00765EB3"/>
    <w:rsid w:val="00781A65"/>
    <w:rsid w:val="007902D5"/>
    <w:rsid w:val="00794C63"/>
    <w:rsid w:val="00797454"/>
    <w:rsid w:val="007F416F"/>
    <w:rsid w:val="008027F6"/>
    <w:rsid w:val="00806436"/>
    <w:rsid w:val="00831F32"/>
    <w:rsid w:val="00846530"/>
    <w:rsid w:val="008541A3"/>
    <w:rsid w:val="0088086A"/>
    <w:rsid w:val="0088388A"/>
    <w:rsid w:val="008A0337"/>
    <w:rsid w:val="008A08F7"/>
    <w:rsid w:val="008B039A"/>
    <w:rsid w:val="008B1C7C"/>
    <w:rsid w:val="008E3910"/>
    <w:rsid w:val="008E63DC"/>
    <w:rsid w:val="008F4243"/>
    <w:rsid w:val="008F5FC7"/>
    <w:rsid w:val="0091533A"/>
    <w:rsid w:val="009615E7"/>
    <w:rsid w:val="009662FC"/>
    <w:rsid w:val="0098481D"/>
    <w:rsid w:val="009865EA"/>
    <w:rsid w:val="009D555B"/>
    <w:rsid w:val="00A029F9"/>
    <w:rsid w:val="00A203DD"/>
    <w:rsid w:val="00A25524"/>
    <w:rsid w:val="00A2798B"/>
    <w:rsid w:val="00A3798D"/>
    <w:rsid w:val="00A516B2"/>
    <w:rsid w:val="00A8747B"/>
    <w:rsid w:val="00A962E2"/>
    <w:rsid w:val="00AA61D7"/>
    <w:rsid w:val="00AB3690"/>
    <w:rsid w:val="00AD5300"/>
    <w:rsid w:val="00AD6544"/>
    <w:rsid w:val="00AE187D"/>
    <w:rsid w:val="00AE3330"/>
    <w:rsid w:val="00AF1DF5"/>
    <w:rsid w:val="00AF4CE7"/>
    <w:rsid w:val="00AF4E28"/>
    <w:rsid w:val="00B17F87"/>
    <w:rsid w:val="00B434C8"/>
    <w:rsid w:val="00B65DD0"/>
    <w:rsid w:val="00BA1454"/>
    <w:rsid w:val="00BF3540"/>
    <w:rsid w:val="00BF7763"/>
    <w:rsid w:val="00C04A59"/>
    <w:rsid w:val="00C14D62"/>
    <w:rsid w:val="00C15374"/>
    <w:rsid w:val="00C17CF8"/>
    <w:rsid w:val="00C2203C"/>
    <w:rsid w:val="00C238B1"/>
    <w:rsid w:val="00C26121"/>
    <w:rsid w:val="00C27A27"/>
    <w:rsid w:val="00C31524"/>
    <w:rsid w:val="00C36F27"/>
    <w:rsid w:val="00C42F53"/>
    <w:rsid w:val="00C4543D"/>
    <w:rsid w:val="00C7058B"/>
    <w:rsid w:val="00CA0FA6"/>
    <w:rsid w:val="00CB46D2"/>
    <w:rsid w:val="00CD75FA"/>
    <w:rsid w:val="00CE2013"/>
    <w:rsid w:val="00CF40BD"/>
    <w:rsid w:val="00D1330A"/>
    <w:rsid w:val="00D311DB"/>
    <w:rsid w:val="00D57314"/>
    <w:rsid w:val="00DA4564"/>
    <w:rsid w:val="00DD65AD"/>
    <w:rsid w:val="00DF4F2D"/>
    <w:rsid w:val="00E00ACD"/>
    <w:rsid w:val="00E362B3"/>
    <w:rsid w:val="00E51663"/>
    <w:rsid w:val="00E5588D"/>
    <w:rsid w:val="00E76116"/>
    <w:rsid w:val="00E84C5B"/>
    <w:rsid w:val="00E910A1"/>
    <w:rsid w:val="00EA5EE3"/>
    <w:rsid w:val="00EC4D04"/>
    <w:rsid w:val="00ED5F16"/>
    <w:rsid w:val="00EE4A67"/>
    <w:rsid w:val="00F2548E"/>
    <w:rsid w:val="00F33D79"/>
    <w:rsid w:val="00F374F4"/>
    <w:rsid w:val="00F61296"/>
    <w:rsid w:val="00F83797"/>
    <w:rsid w:val="00F85D44"/>
    <w:rsid w:val="00F942BE"/>
    <w:rsid w:val="00F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F74FE0"/>
  <w15:docId w15:val="{8D99F14A-3143-47AB-989C-85C631AD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690"/>
    <w:pPr>
      <w:spacing w:after="180" w:line="274" w:lineRule="auto"/>
    </w:pPr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555B"/>
    <w:pPr>
      <w:keepNext/>
      <w:keepLines/>
      <w:spacing w:before="360" w:after="0" w:line="240" w:lineRule="auto"/>
      <w:jc w:val="both"/>
      <w:outlineLvl w:val="0"/>
    </w:pPr>
    <w:rPr>
      <w:rFonts w:ascii="Verdana" w:eastAsiaTheme="majorEastAsia" w:hAnsi="Verdana" w:cstheme="majorBidi"/>
      <w:b/>
      <w:bCs/>
      <w:color w:val="FA8000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62E2"/>
    <w:pPr>
      <w:keepNext/>
      <w:keepLines/>
      <w:spacing w:before="120" w:after="0" w:line="240" w:lineRule="auto"/>
      <w:jc w:val="both"/>
      <w:outlineLvl w:val="1"/>
    </w:pPr>
    <w:rPr>
      <w:rFonts w:ascii="Verdana" w:eastAsiaTheme="majorEastAsia" w:hAnsi="Verdana" w:cstheme="majorBidi"/>
      <w:b/>
      <w:bCs/>
      <w:color w:val="FA8000" w:themeColor="accent1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D555B"/>
    <w:pPr>
      <w:keepNext/>
      <w:keepLines/>
      <w:spacing w:before="20" w:after="0" w:line="240" w:lineRule="auto"/>
      <w:jc w:val="both"/>
      <w:outlineLvl w:val="2"/>
    </w:pPr>
    <w:rPr>
      <w:rFonts w:ascii="Verdana" w:eastAsiaTheme="majorEastAsia" w:hAnsi="Verdana" w:cstheme="majorBidi"/>
      <w:bCs/>
      <w:color w:val="1F497D" w:themeColor="text2"/>
      <w:spacing w:val="14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19B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19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19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A8000" w:themeColor="accent1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19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19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19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9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0A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555B"/>
    <w:rPr>
      <w:rFonts w:ascii="Verdana" w:eastAsiaTheme="majorEastAsia" w:hAnsi="Verdana" w:cstheme="majorBidi"/>
      <w:b/>
      <w:bCs/>
      <w:color w:val="FA8000" w:themeColor="accent1"/>
      <w:spacing w:val="20"/>
      <w:sz w:val="32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519BF"/>
    <w:pPr>
      <w:spacing w:before="480" w:line="264" w:lineRule="auto"/>
      <w:outlineLvl w:val="9"/>
    </w:pPr>
    <w:rPr>
      <w:b w:val="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962E2"/>
    <w:rPr>
      <w:rFonts w:ascii="Verdana" w:eastAsiaTheme="majorEastAsia" w:hAnsi="Verdana" w:cstheme="majorBidi"/>
      <w:b/>
      <w:bCs/>
      <w:color w:val="FA8000" w:themeColor="accent1"/>
      <w:sz w:val="24"/>
      <w:szCs w:val="24"/>
    </w:rPr>
  </w:style>
  <w:style w:type="paragraph" w:styleId="NormalWeb">
    <w:name w:val="Normal (Web)"/>
    <w:basedOn w:val="Normal"/>
    <w:unhideWhenUsed/>
    <w:rsid w:val="001519B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kobling">
    <w:name w:val="Hyperlink"/>
    <w:basedOn w:val="Standardskriftforavsnitt"/>
    <w:uiPriority w:val="99"/>
    <w:unhideWhenUsed/>
    <w:rsid w:val="001519BF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D555B"/>
    <w:rPr>
      <w:rFonts w:ascii="Verdana" w:eastAsiaTheme="majorEastAsia" w:hAnsi="Verdana" w:cstheme="majorBidi"/>
      <w:bCs/>
      <w:color w:val="1F497D" w:themeColor="text2"/>
      <w:spacing w:val="1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19B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19BF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19BF"/>
    <w:rPr>
      <w:rFonts w:asciiTheme="majorHAnsi" w:eastAsiaTheme="majorEastAsia" w:hAnsiTheme="majorHAnsi" w:cstheme="majorBidi"/>
      <w:iCs/>
      <w:color w:val="FA8000" w:themeColor="accen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19B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19B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19B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519B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tel">
    <w:name w:val="Title"/>
    <w:basedOn w:val="Normal"/>
    <w:next w:val="Normal"/>
    <w:link w:val="TittelTegn"/>
    <w:uiPriority w:val="10"/>
    <w:qFormat/>
    <w:rsid w:val="00AB3690"/>
    <w:rPr>
      <w:rFonts w:ascii="Verdana" w:hAnsi="Verdana"/>
      <w:b/>
      <w:color w:val="FA800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690"/>
    <w:rPr>
      <w:rFonts w:ascii="Verdana" w:hAnsi="Verdana" w:cs="Times New Roman"/>
      <w:b/>
      <w:color w:val="FA800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3690"/>
    <w:rPr>
      <w:rFonts w:ascii="Verdana" w:hAnsi="Verdana"/>
      <w:color w:val="FA8000"/>
      <w:sz w:val="44"/>
      <w:szCs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3690"/>
    <w:rPr>
      <w:rFonts w:ascii="Verdana" w:hAnsi="Verdana" w:cs="Times New Roman"/>
      <w:color w:val="FA8000"/>
      <w:sz w:val="44"/>
      <w:szCs w:val="44"/>
    </w:rPr>
  </w:style>
  <w:style w:type="character" w:styleId="Sterk">
    <w:name w:val="Strong"/>
    <w:basedOn w:val="Standardskriftforavsnitt"/>
    <w:uiPriority w:val="22"/>
    <w:qFormat/>
    <w:rsid w:val="001519BF"/>
    <w:rPr>
      <w:b w:val="0"/>
      <w:bCs/>
      <w:i/>
      <w:color w:val="1F497D" w:themeColor="text2"/>
    </w:rPr>
  </w:style>
  <w:style w:type="character" w:styleId="Utheving">
    <w:name w:val="Emphasis"/>
    <w:basedOn w:val="Standardskriftforavsnitt"/>
    <w:uiPriority w:val="20"/>
    <w:qFormat/>
    <w:rsid w:val="001519BF"/>
    <w:rPr>
      <w:b/>
      <w:i/>
      <w:iCs/>
    </w:rPr>
  </w:style>
  <w:style w:type="paragraph" w:styleId="Ingenmellomrom">
    <w:name w:val="No Spacing"/>
    <w:link w:val="IngenmellomromTegn"/>
    <w:uiPriority w:val="1"/>
    <w:qFormat/>
    <w:rsid w:val="001519BF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1519BF"/>
  </w:style>
  <w:style w:type="paragraph" w:styleId="Listeavsnitt">
    <w:name w:val="List Paragraph"/>
    <w:basedOn w:val="Normal"/>
    <w:uiPriority w:val="34"/>
    <w:qFormat/>
    <w:rsid w:val="001519B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Sitat">
    <w:name w:val="Quote"/>
    <w:basedOn w:val="Normal"/>
    <w:next w:val="Normal"/>
    <w:link w:val="SitatTegn"/>
    <w:uiPriority w:val="29"/>
    <w:qFormat/>
    <w:rsid w:val="001519BF"/>
    <w:pPr>
      <w:spacing w:after="0" w:line="360" w:lineRule="auto"/>
      <w:jc w:val="center"/>
    </w:pPr>
    <w:rPr>
      <w:rFonts w:eastAsiaTheme="minorEastAsia"/>
      <w:b/>
      <w:i/>
      <w:iCs/>
      <w:color w:val="FA8000" w:themeColor="accent1"/>
      <w:sz w:val="26"/>
      <w:lang w:bidi="hi-IN"/>
    </w:rPr>
  </w:style>
  <w:style w:type="character" w:customStyle="1" w:styleId="SitatTegn">
    <w:name w:val="Sitat Tegn"/>
    <w:basedOn w:val="Standardskriftforavsnitt"/>
    <w:link w:val="Sitat"/>
    <w:uiPriority w:val="29"/>
    <w:rsid w:val="001519BF"/>
    <w:rPr>
      <w:rFonts w:eastAsiaTheme="minorEastAsia"/>
      <w:b/>
      <w:i/>
      <w:iCs/>
      <w:color w:val="FA8000" w:themeColor="accent1"/>
      <w:sz w:val="26"/>
      <w:lang w:bidi="hi-IN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19BF"/>
    <w:pPr>
      <w:pBdr>
        <w:top w:val="single" w:sz="36" w:space="8" w:color="FA8000" w:themeColor="accent1"/>
        <w:left w:val="single" w:sz="36" w:space="8" w:color="FA8000" w:themeColor="accent1"/>
        <w:bottom w:val="single" w:sz="36" w:space="8" w:color="FA8000" w:themeColor="accent1"/>
        <w:right w:val="single" w:sz="36" w:space="8" w:color="FA8000" w:themeColor="accent1"/>
      </w:pBdr>
      <w:shd w:val="clear" w:color="auto" w:fill="FA8000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19B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A8000" w:themeFill="accent1"/>
      <w:lang w:bidi="hi-IN"/>
    </w:rPr>
  </w:style>
  <w:style w:type="character" w:styleId="Svakutheving">
    <w:name w:val="Subtle Emphasis"/>
    <w:basedOn w:val="Standardskriftforavsnitt"/>
    <w:uiPriority w:val="19"/>
    <w:qFormat/>
    <w:rsid w:val="001519BF"/>
    <w:rPr>
      <w:i/>
      <w:iCs/>
      <w:color w:val="000000"/>
    </w:rPr>
  </w:style>
  <w:style w:type="character" w:styleId="Sterkutheving">
    <w:name w:val="Intense Emphasis"/>
    <w:basedOn w:val="Standardskriftforavsnitt"/>
    <w:uiPriority w:val="21"/>
    <w:qFormat/>
    <w:rsid w:val="001519BF"/>
    <w:rPr>
      <w:b/>
      <w:bCs/>
      <w:i/>
      <w:iCs/>
      <w:color w:val="FA8000" w:themeColor="accent1"/>
    </w:rPr>
  </w:style>
  <w:style w:type="character" w:styleId="Svakreferanse">
    <w:name w:val="Subtle Reference"/>
    <w:basedOn w:val="Standardskriftforavsnitt"/>
    <w:uiPriority w:val="31"/>
    <w:qFormat/>
    <w:rsid w:val="001519BF"/>
    <w:rPr>
      <w:smallCaps/>
      <w:color w:val="000000"/>
      <w:u w:val="single"/>
    </w:rPr>
  </w:style>
  <w:style w:type="character" w:styleId="Sterkreferanse">
    <w:name w:val="Intense Reference"/>
    <w:basedOn w:val="Standardskriftforavsnitt"/>
    <w:uiPriority w:val="32"/>
    <w:qFormat/>
    <w:rsid w:val="001519BF"/>
    <w:rPr>
      <w:b w:val="0"/>
      <w:bCs/>
      <w:smallCaps/>
      <w:color w:val="FA8000" w:themeColor="accent1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519BF"/>
    <w:rPr>
      <w:b/>
      <w:bCs/>
      <w:caps/>
      <w:smallCaps w:val="0"/>
      <w:color w:val="1F497D" w:themeColor="text2"/>
      <w:spacing w:val="10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F942BE"/>
    <w:pPr>
      <w:tabs>
        <w:tab w:val="right" w:leader="dot" w:pos="9062"/>
      </w:tabs>
      <w:spacing w:after="120" w:line="240" w:lineRule="auto"/>
    </w:pPr>
    <w:rPr>
      <w:rFonts w:ascii="Verdana" w:hAnsi="Verdana"/>
      <w:noProof/>
      <w:color w:val="0063AD"/>
    </w:rPr>
  </w:style>
  <w:style w:type="paragraph" w:styleId="INNH2">
    <w:name w:val="toc 2"/>
    <w:basedOn w:val="Normal"/>
    <w:next w:val="Normal"/>
    <w:autoRedefine/>
    <w:uiPriority w:val="39"/>
    <w:unhideWhenUsed/>
    <w:rsid w:val="00C26121"/>
    <w:pPr>
      <w:tabs>
        <w:tab w:val="right" w:leader="dot" w:pos="9062"/>
      </w:tabs>
      <w:spacing w:after="100"/>
    </w:pPr>
    <w:rPr>
      <w:rFonts w:ascii="Verdana" w:hAnsi="Verdana"/>
      <w:noProof/>
      <w:color w:val="0063AD"/>
    </w:rPr>
  </w:style>
  <w:style w:type="paragraph" w:styleId="INNH3">
    <w:name w:val="toc 3"/>
    <w:basedOn w:val="Normal"/>
    <w:next w:val="Normal"/>
    <w:autoRedefine/>
    <w:uiPriority w:val="39"/>
    <w:unhideWhenUsed/>
    <w:rsid w:val="002D13B1"/>
    <w:pPr>
      <w:tabs>
        <w:tab w:val="right" w:leader="dot" w:pos="9062"/>
      </w:tabs>
      <w:spacing w:after="100"/>
      <w:ind w:left="480"/>
    </w:pPr>
    <w:rPr>
      <w:noProof/>
      <w:color w:val="0063AD"/>
    </w:rPr>
  </w:style>
  <w:style w:type="paragraph" w:customStyle="1" w:styleId="innholdsfortegnelsegrafiskprofilalstahaug">
    <w:name w:val="innholdsfortegnelse grafisk profil alstahaug"/>
    <w:basedOn w:val="INNH1"/>
    <w:link w:val="innholdsfortegnelsegrafiskprofilalstahaugTegn"/>
    <w:qFormat/>
    <w:rsid w:val="002D13B1"/>
  </w:style>
  <w:style w:type="paragraph" w:styleId="Topptekst">
    <w:name w:val="header"/>
    <w:basedOn w:val="Normal"/>
    <w:link w:val="TopptekstTegn"/>
    <w:unhideWhenUsed/>
    <w:rsid w:val="0017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NH1Tegn">
    <w:name w:val="INNH 1 Tegn"/>
    <w:basedOn w:val="Standardskriftforavsnitt"/>
    <w:link w:val="INNH1"/>
    <w:uiPriority w:val="39"/>
    <w:rsid w:val="00F942BE"/>
    <w:rPr>
      <w:rFonts w:ascii="Verdana" w:hAnsi="Verdana" w:cs="Times New Roman"/>
      <w:noProof/>
      <w:color w:val="0063AD"/>
      <w:sz w:val="24"/>
      <w:szCs w:val="24"/>
    </w:rPr>
  </w:style>
  <w:style w:type="character" w:customStyle="1" w:styleId="innholdsfortegnelsegrafiskprofilalstahaugTegn">
    <w:name w:val="innholdsfortegnelse grafisk profil alstahaug Tegn"/>
    <w:basedOn w:val="INNH1Tegn"/>
    <w:link w:val="innholdsfortegnelsegrafiskprofilalstahaug"/>
    <w:rsid w:val="002D13B1"/>
    <w:rPr>
      <w:rFonts w:ascii="Verdana" w:hAnsi="Verdana" w:cs="Times New Roman"/>
      <w:noProof/>
      <w:color w:val="0063AD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170F83"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17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0F83"/>
    <w:rPr>
      <w:rFonts w:ascii="Times New Roman" w:hAnsi="Times New Roman" w:cs="Times New Roman"/>
      <w:sz w:val="24"/>
      <w:szCs w:val="24"/>
    </w:rPr>
  </w:style>
  <w:style w:type="paragraph" w:styleId="Brdtekstinnrykk">
    <w:name w:val="Body Text Indent"/>
    <w:basedOn w:val="Normal"/>
    <w:link w:val="BrdtekstinnrykkTegn"/>
    <w:rsid w:val="00A962E2"/>
    <w:pPr>
      <w:spacing w:after="0" w:line="240" w:lineRule="auto"/>
    </w:pPr>
    <w:rPr>
      <w:rFonts w:eastAsia="Times New Roman"/>
      <w:b/>
      <w:bCs/>
      <w:sz w:val="32"/>
      <w:szCs w:val="32"/>
    </w:rPr>
  </w:style>
  <w:style w:type="character" w:customStyle="1" w:styleId="BrdtekstinnrykkTegn">
    <w:name w:val="Brødtekstinnrykk Tegn"/>
    <w:basedOn w:val="Standardskriftforavsnitt"/>
    <w:link w:val="Brdtekstinnrykk"/>
    <w:rsid w:val="00A962E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rdtekst">
    <w:name w:val="Body Text"/>
    <w:basedOn w:val="Normal"/>
    <w:link w:val="BrdtekstTegn"/>
    <w:rsid w:val="00A962E2"/>
    <w:pPr>
      <w:spacing w:after="0" w:line="240" w:lineRule="auto"/>
    </w:pPr>
    <w:rPr>
      <w:rFonts w:eastAsia="Times New Roman"/>
    </w:rPr>
  </w:style>
  <w:style w:type="character" w:customStyle="1" w:styleId="BrdtekstTegn">
    <w:name w:val="Brødtekst Tegn"/>
    <w:basedOn w:val="Standardskriftforavsnitt"/>
    <w:link w:val="Brdtekst"/>
    <w:rsid w:val="00A962E2"/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"/>
    <w:rsid w:val="00A962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</w:rPr>
  </w:style>
  <w:style w:type="paragraph" w:customStyle="1" w:styleId="Enkeltlinje">
    <w:name w:val="Enkeltlinje"/>
    <w:basedOn w:val="Normal"/>
    <w:rsid w:val="00A962E2"/>
    <w:pPr>
      <w:tabs>
        <w:tab w:val="left" w:pos="1701"/>
        <w:tab w:val="left" w:pos="5670"/>
        <w:tab w:val="left" w:pos="7371"/>
      </w:tabs>
      <w:spacing w:after="0" w:line="240" w:lineRule="auto"/>
    </w:pPr>
    <w:rPr>
      <w:rFonts w:eastAsia="Times New Roman"/>
      <w:szCs w:val="20"/>
    </w:rPr>
  </w:style>
  <w:style w:type="paragraph" w:styleId="Liste">
    <w:name w:val="List"/>
    <w:basedOn w:val="Normal"/>
    <w:rsid w:val="00A962E2"/>
    <w:pPr>
      <w:spacing w:after="0" w:line="240" w:lineRule="auto"/>
      <w:ind w:left="283" w:hanging="283"/>
    </w:pPr>
    <w:rPr>
      <w:rFonts w:eastAsia="Times New Roman"/>
    </w:rPr>
  </w:style>
  <w:style w:type="paragraph" w:customStyle="1" w:styleId="Brevadresse">
    <w:name w:val="Brevadresse"/>
    <w:basedOn w:val="Normal"/>
    <w:rsid w:val="00A962E2"/>
    <w:pPr>
      <w:spacing w:after="0" w:line="240" w:lineRule="auto"/>
    </w:pPr>
    <w:rPr>
      <w:rFonts w:eastAsia="Times New Roman"/>
    </w:rPr>
  </w:style>
  <w:style w:type="paragraph" w:customStyle="1" w:styleId="k-a7">
    <w:name w:val="k-a7"/>
    <w:basedOn w:val="Normal"/>
    <w:rsid w:val="00A962E2"/>
    <w:pPr>
      <w:spacing w:after="120" w:line="312" w:lineRule="atLeast"/>
    </w:pPr>
    <w:rPr>
      <w:rFonts w:eastAsia="Times New Roman"/>
    </w:rPr>
  </w:style>
  <w:style w:type="paragraph" w:customStyle="1" w:styleId="tilfradato">
    <w:name w:val="til/fra/dato"/>
    <w:basedOn w:val="Normal"/>
    <w:rsid w:val="00A962E2"/>
    <w:pPr>
      <w:tabs>
        <w:tab w:val="left" w:pos="851"/>
      </w:tabs>
      <w:spacing w:before="120" w:after="240" w:line="240" w:lineRule="auto"/>
    </w:pPr>
    <w:rPr>
      <w:rFonts w:ascii="Arial" w:eastAsia="Times New Roman" w:hAnsi="Arial"/>
      <w:szCs w:val="20"/>
    </w:rPr>
  </w:style>
  <w:style w:type="character" w:styleId="Plassholdertekst">
    <w:name w:val="Placeholder Text"/>
    <w:basedOn w:val="Standardskriftforavsnitt"/>
    <w:uiPriority w:val="99"/>
    <w:semiHidden/>
    <w:rsid w:val="00794C63"/>
    <w:rPr>
      <w:color w:val="808080"/>
    </w:rPr>
  </w:style>
  <w:style w:type="paragraph" w:customStyle="1" w:styleId="Default">
    <w:name w:val="Default"/>
    <w:rsid w:val="00ED5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vsnittnummer2">
    <w:name w:val="avsnittnummer2"/>
    <w:basedOn w:val="Standardskriftforavsnitt"/>
    <w:rsid w:val="00D57314"/>
  </w:style>
  <w:style w:type="paragraph" w:customStyle="1" w:styleId="Normal1">
    <w:name w:val="Normal1"/>
    <w:qFormat/>
    <w:rsid w:val="00F942BE"/>
    <w:pPr>
      <w:spacing w:after="0" w:line="240" w:lineRule="auto"/>
    </w:pPr>
    <w:rPr>
      <w:rFonts w:ascii="CG Times (W1)" w:eastAsia="Times New Roman" w:hAnsi="CG Times (W1)" w:cs="Times New Roman"/>
      <w:sz w:val="24"/>
      <w:szCs w:val="20"/>
    </w:rPr>
  </w:style>
  <w:style w:type="paragraph" w:customStyle="1" w:styleId="mortaga">
    <w:name w:val="mortag_a"/>
    <w:basedOn w:val="Normal"/>
    <w:rsid w:val="00A2798B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0B7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66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090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4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707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in32\MSOffice\Maler\Rapport%20mal%20for%20Alstahaug%20kommu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09D6A79A504C0F9C04015074946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3CDE1E-D78C-43A6-9F64-437C322040F7}"/>
      </w:docPartPr>
      <w:docPartBody>
        <w:p w:rsidR="001B4509" w:rsidRDefault="001B4509">
          <w:pPr>
            <w:pStyle w:val="9809D6A79A504C0F9C040150749469A5"/>
          </w:pPr>
          <w:r w:rsidRPr="0059798A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509"/>
    <w:rsid w:val="001B4509"/>
    <w:rsid w:val="001C7445"/>
    <w:rsid w:val="0050298D"/>
    <w:rsid w:val="005A608F"/>
    <w:rsid w:val="00722A7A"/>
    <w:rsid w:val="00784909"/>
    <w:rsid w:val="008D3D90"/>
    <w:rsid w:val="00D75064"/>
    <w:rsid w:val="00E32F17"/>
    <w:rsid w:val="00E7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9809D6A79A504C0F9C040150749469A5">
    <w:name w:val="9809D6A79A504C0F9C040150749469A5"/>
  </w:style>
  <w:style w:type="paragraph" w:customStyle="1" w:styleId="5854B4B7D53649A3A48F67CE12948C6B">
    <w:name w:val="5854B4B7D53649A3A48F67CE12948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ema alstahaug profi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A8000"/>
      </a:accent1>
      <a:accent2>
        <a:srgbClr val="40FFFF"/>
      </a:accent2>
      <a:accent3>
        <a:srgbClr val="2F1E4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BFD0-A4C9-4A73-A40E-87BDFF20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mal for Alstahaug kommune</Template>
  <TotalTime>388</TotalTime>
  <Pages>6</Pages>
  <Words>1686</Words>
  <Characters>8940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Forskrift – godtgjørelse ved kommunale ombuds- og tillitsverv.</vt:lpstr>
    </vt:vector>
  </TitlesOfParts>
  <Company>Alstahaug kommune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Forskrift – godtgjørelse ved kommunale ombuds- og tillitsverv.</dc:title>
  <dc:creator>Kristin Vangen</dc:creator>
  <cp:lastModifiedBy>Aina Slotterøy</cp:lastModifiedBy>
  <cp:revision>6</cp:revision>
  <cp:lastPrinted>2016-05-12T09:54:00Z</cp:lastPrinted>
  <dcterms:created xsi:type="dcterms:W3CDTF">2019-10-21T06:38:00Z</dcterms:created>
  <dcterms:modified xsi:type="dcterms:W3CDTF">2019-11-06T08:21:00Z</dcterms:modified>
</cp:coreProperties>
</file>