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1" w:type="dxa"/>
        <w:tblInd w:w="-1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"/>
        <w:gridCol w:w="1717"/>
        <w:gridCol w:w="1722"/>
        <w:gridCol w:w="915"/>
        <w:gridCol w:w="1697"/>
        <w:gridCol w:w="3125"/>
      </w:tblGrid>
      <w:tr w:rsidR="009463D4" w14:paraId="280438F9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781E94A1" w14:textId="77777777" w:rsidR="000244E9" w:rsidRPr="0046377C" w:rsidRDefault="000244E9" w:rsidP="00EA188C">
            <w:pPr>
              <w:rPr>
                <w:rFonts w:cs="Arial"/>
              </w:rPr>
            </w:pPr>
          </w:p>
        </w:tc>
        <w:tc>
          <w:tcPr>
            <w:tcW w:w="1697" w:type="dxa"/>
            <w:shd w:val="clear" w:color="auto" w:fill="auto"/>
          </w:tcPr>
          <w:p w14:paraId="4838EF7B" w14:textId="77777777" w:rsidR="000244E9" w:rsidRPr="0017268C" w:rsidRDefault="000244E9" w:rsidP="00EA188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25" w:type="dxa"/>
            <w:shd w:val="clear" w:color="auto" w:fill="auto"/>
          </w:tcPr>
          <w:p w14:paraId="4B48196D" w14:textId="77777777" w:rsidR="000244E9" w:rsidRPr="00AD11D4" w:rsidRDefault="00BA7AEC" w:rsidP="000914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8582F" w:rsidRPr="007602C2">
              <w:rPr>
                <w:rStyle w:val="Sidetall"/>
                <w:rFonts w:cs="Arial"/>
                <w:b/>
                <w:sz w:val="28"/>
                <w:szCs w:val="28"/>
              </w:rPr>
              <w:t>Saks</w:t>
            </w:r>
            <w:r w:rsidR="00AA5B1D">
              <w:rPr>
                <w:rStyle w:val="Sidetall"/>
                <w:rFonts w:cs="Arial"/>
                <w:b/>
                <w:sz w:val="28"/>
                <w:szCs w:val="28"/>
              </w:rPr>
              <w:t>fr</w:t>
            </w:r>
            <w:r w:rsidR="00091421">
              <w:rPr>
                <w:rStyle w:val="Sidetall"/>
                <w:rFonts w:cs="Arial"/>
                <w:b/>
                <w:sz w:val="28"/>
                <w:szCs w:val="28"/>
              </w:rPr>
              <w:t>e</w:t>
            </w:r>
            <w:r w:rsidR="00AA5B1D">
              <w:rPr>
                <w:rStyle w:val="Sidetall"/>
                <w:rFonts w:cs="Arial"/>
                <w:b/>
                <w:sz w:val="28"/>
                <w:szCs w:val="28"/>
              </w:rPr>
              <w:t>mlegg</w:t>
            </w:r>
          </w:p>
        </w:tc>
      </w:tr>
      <w:tr w:rsidR="009463D4" w14:paraId="3A939402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450A8225" w14:textId="77777777" w:rsidR="0088582F" w:rsidRPr="0046377C" w:rsidRDefault="0088582F" w:rsidP="00AD1F3A">
            <w:pPr>
              <w:spacing w:after="0"/>
              <w:rPr>
                <w:rFonts w:cs="Arial"/>
              </w:rPr>
            </w:pPr>
          </w:p>
        </w:tc>
        <w:tc>
          <w:tcPr>
            <w:tcW w:w="1697" w:type="dxa"/>
            <w:shd w:val="clear" w:color="auto" w:fill="auto"/>
          </w:tcPr>
          <w:p w14:paraId="3F2FAF8A" w14:textId="77777777" w:rsidR="0088582F" w:rsidRPr="00AD1F3A" w:rsidRDefault="0088582F" w:rsidP="00AD1F3A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236E22C4" w14:textId="77777777" w:rsidR="0088582F" w:rsidRPr="00AD1F3A" w:rsidRDefault="00BA7AEC" w:rsidP="00AD1F3A">
            <w:pPr>
              <w:spacing w:after="0"/>
              <w:rPr>
                <w:sz w:val="20"/>
                <w:szCs w:val="20"/>
              </w:rPr>
            </w:pPr>
            <w:r w:rsidRPr="00AD1F3A">
              <w:rPr>
                <w:sz w:val="20"/>
                <w:szCs w:val="20"/>
              </w:rPr>
              <w:t xml:space="preserve">Arkivreferanse: </w:t>
            </w:r>
            <w:bookmarkStart w:id="0" w:name="Saksnr"/>
            <w:r w:rsidRPr="00AD1F3A">
              <w:rPr>
                <w:sz w:val="20"/>
                <w:szCs w:val="20"/>
              </w:rPr>
              <w:t>2022/2545</w:t>
            </w:r>
            <w:bookmarkEnd w:id="0"/>
            <w:r w:rsidRPr="00AD1F3A">
              <w:rPr>
                <w:sz w:val="20"/>
                <w:szCs w:val="20"/>
              </w:rPr>
              <w:t>-</w:t>
            </w:r>
            <w:bookmarkStart w:id="1" w:name="NrISak"/>
            <w:r w:rsidRPr="00AD1F3A">
              <w:rPr>
                <w:sz w:val="20"/>
                <w:szCs w:val="20"/>
              </w:rPr>
              <w:t>25</w:t>
            </w:r>
            <w:bookmarkEnd w:id="1"/>
          </w:p>
          <w:p w14:paraId="533886AE" w14:textId="77777777" w:rsidR="0088582F" w:rsidRPr="00AD1F3A" w:rsidRDefault="00BA7AEC" w:rsidP="00AD1F3A">
            <w:pPr>
              <w:spacing w:after="0"/>
              <w:rPr>
                <w:sz w:val="20"/>
                <w:szCs w:val="20"/>
              </w:rPr>
            </w:pPr>
            <w:r w:rsidRPr="00AD1F3A">
              <w:rPr>
                <w:sz w:val="20"/>
                <w:szCs w:val="20"/>
              </w:rPr>
              <w:t xml:space="preserve">Saksbehandler: </w:t>
            </w:r>
            <w:bookmarkStart w:id="2" w:name="SaksbehandlerNavn"/>
            <w:r w:rsidRPr="00AD1F3A">
              <w:rPr>
                <w:sz w:val="20"/>
                <w:szCs w:val="20"/>
              </w:rPr>
              <w:t>Bjørn Morten Johansen</w:t>
            </w:r>
            <w:bookmarkEnd w:id="2"/>
          </w:p>
        </w:tc>
      </w:tr>
      <w:tr w:rsidR="009463D4" w14:paraId="07490AA1" w14:textId="77777777" w:rsidTr="00091421">
        <w:trPr>
          <w:gridBefore w:val="1"/>
          <w:wBefore w:w="15" w:type="dxa"/>
          <w:trHeight w:val="654"/>
        </w:trPr>
        <w:tc>
          <w:tcPr>
            <w:tcW w:w="4354" w:type="dxa"/>
            <w:gridSpan w:val="3"/>
            <w:shd w:val="clear" w:color="auto" w:fill="auto"/>
          </w:tcPr>
          <w:p w14:paraId="4AA1DF8D" w14:textId="77777777" w:rsidR="00D106A5" w:rsidRPr="003701C6" w:rsidRDefault="00D106A5" w:rsidP="00D106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auto"/>
          </w:tcPr>
          <w:p w14:paraId="3F0A015C" w14:textId="77777777" w:rsidR="00D106A5" w:rsidRPr="003701C6" w:rsidRDefault="00D106A5" w:rsidP="00D106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14:paraId="7DE2F7CA" w14:textId="77777777" w:rsidR="00D106A5" w:rsidRPr="003701C6" w:rsidRDefault="00D106A5" w:rsidP="00D106A5">
            <w:pPr>
              <w:spacing w:after="0"/>
              <w:rPr>
                <w:sz w:val="20"/>
                <w:szCs w:val="20"/>
              </w:rPr>
            </w:pPr>
            <w:bookmarkStart w:id="3" w:name="UOFFPARAGRAF"/>
            <w:bookmarkEnd w:id="3"/>
          </w:p>
        </w:tc>
      </w:tr>
      <w:tr w:rsidR="009463D4" w14:paraId="5B672ECE" w14:textId="77777777" w:rsidTr="00091421">
        <w:tblPrEx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1732" w:type="dxa"/>
            <w:gridSpan w:val="2"/>
            <w:shd w:val="clear" w:color="auto" w:fill="auto"/>
          </w:tcPr>
          <w:p w14:paraId="18297AE9" w14:textId="77777777" w:rsidR="0059292C" w:rsidRPr="003701C6" w:rsidRDefault="00BA7AEC">
            <w:pPr>
              <w:rPr>
                <w:b/>
              </w:rPr>
            </w:pPr>
            <w:r w:rsidRPr="003701C6">
              <w:rPr>
                <w:b/>
              </w:rPr>
              <w:t>Sak</w:t>
            </w:r>
            <w:r w:rsidR="00AD11D4" w:rsidRPr="003701C6">
              <w:rPr>
                <w:b/>
              </w:rPr>
              <w:t>s</w:t>
            </w:r>
            <w:r w:rsidRPr="003701C6">
              <w:rPr>
                <w:b/>
              </w:rPr>
              <w:t>nummer</w:t>
            </w:r>
            <w:r w:rsidR="00AD1F3A" w:rsidRPr="003701C6">
              <w:rPr>
                <w:b/>
              </w:rPr>
              <w:t>:</w:t>
            </w:r>
          </w:p>
        </w:tc>
        <w:tc>
          <w:tcPr>
            <w:tcW w:w="1722" w:type="dxa"/>
            <w:shd w:val="clear" w:color="auto" w:fill="auto"/>
          </w:tcPr>
          <w:p w14:paraId="0A5D0DDF" w14:textId="77777777" w:rsidR="0059292C" w:rsidRPr="003701C6" w:rsidRDefault="00BA7AEC">
            <w:pPr>
              <w:rPr>
                <w:b/>
              </w:rPr>
            </w:pPr>
            <w:r w:rsidRPr="003701C6">
              <w:rPr>
                <w:b/>
              </w:rPr>
              <w:t>Møtedato</w:t>
            </w:r>
            <w:r w:rsidR="00AD1F3A" w:rsidRPr="003701C6">
              <w:rPr>
                <w:b/>
              </w:rPr>
              <w:t>: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2EE9D398" w14:textId="77777777" w:rsidR="0059292C" w:rsidRPr="003701C6" w:rsidRDefault="00BA7AEC">
            <w:pPr>
              <w:rPr>
                <w:b/>
              </w:rPr>
            </w:pPr>
            <w:r w:rsidRPr="003701C6">
              <w:rPr>
                <w:b/>
              </w:rPr>
              <w:t>Utvalg</w:t>
            </w:r>
            <w:r w:rsidR="00AD1F3A" w:rsidRPr="003701C6">
              <w:rPr>
                <w:b/>
              </w:rPr>
              <w:t>:</w:t>
            </w:r>
          </w:p>
        </w:tc>
      </w:tr>
      <w:tr w:rsidR="009463D4" w14:paraId="0548A899" w14:textId="77777777" w:rsidTr="00091421">
        <w:tblPrEx>
          <w:tblLook w:val="00A0" w:firstRow="1" w:lastRow="0" w:firstColumn="1" w:lastColumn="0" w:noHBand="0" w:noVBand="0"/>
        </w:tblPrEx>
        <w:trPr>
          <w:trHeight w:hRule="exact" w:val="278"/>
        </w:trPr>
        <w:tc>
          <w:tcPr>
            <w:tcW w:w="1732" w:type="dxa"/>
            <w:gridSpan w:val="2"/>
            <w:shd w:val="clear" w:color="auto" w:fill="auto"/>
          </w:tcPr>
          <w:p w14:paraId="207B84B5" w14:textId="77777777" w:rsidR="0059292C" w:rsidRPr="003701C6" w:rsidRDefault="00BA7AEC">
            <w:bookmarkStart w:id="4" w:name="Saksgang"/>
            <w:bookmarkEnd w:id="4"/>
            <w:r w:rsidRPr="003701C6">
              <w:t>2/24</w:t>
            </w:r>
          </w:p>
        </w:tc>
        <w:tc>
          <w:tcPr>
            <w:tcW w:w="1722" w:type="dxa"/>
            <w:shd w:val="clear" w:color="auto" w:fill="auto"/>
          </w:tcPr>
          <w:p w14:paraId="3D9ECE80" w14:textId="77777777" w:rsidR="0059292C" w:rsidRPr="003701C6" w:rsidRDefault="00BA7AEC">
            <w:r w:rsidRPr="003701C6">
              <w:t>30.01.2024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1064C790" w14:textId="77777777" w:rsidR="0059292C" w:rsidRPr="003701C6" w:rsidRDefault="00BA7AEC">
            <w:r w:rsidRPr="003701C6">
              <w:t>Plan- og næringsutvalget</w:t>
            </w:r>
          </w:p>
        </w:tc>
      </w:tr>
      <w:tr w:rsidR="009463D4" w14:paraId="5AB83BFD" w14:textId="77777777" w:rsidTr="00091421">
        <w:tblPrEx>
          <w:tblLook w:val="00A0" w:firstRow="1" w:lastRow="0" w:firstColumn="1" w:lastColumn="0" w:noHBand="0" w:noVBand="0"/>
        </w:tblPrEx>
        <w:trPr>
          <w:trHeight w:hRule="exact" w:val="278"/>
        </w:trPr>
        <w:tc>
          <w:tcPr>
            <w:tcW w:w="1732" w:type="dxa"/>
            <w:gridSpan w:val="2"/>
            <w:shd w:val="clear" w:color="auto" w:fill="auto"/>
          </w:tcPr>
          <w:p w14:paraId="4F789B6C" w14:textId="77777777" w:rsidR="0059292C" w:rsidRPr="003701C6" w:rsidRDefault="00BA7AEC">
            <w:r w:rsidRPr="003701C6">
              <w:t>7/24</w:t>
            </w:r>
          </w:p>
        </w:tc>
        <w:tc>
          <w:tcPr>
            <w:tcW w:w="1722" w:type="dxa"/>
            <w:shd w:val="clear" w:color="auto" w:fill="auto"/>
          </w:tcPr>
          <w:p w14:paraId="60EF4DA8" w14:textId="77777777" w:rsidR="0059292C" w:rsidRPr="003701C6" w:rsidRDefault="00BA7AEC">
            <w:r w:rsidRPr="003701C6">
              <w:t>21.02.2024</w:t>
            </w:r>
          </w:p>
        </w:tc>
        <w:tc>
          <w:tcPr>
            <w:tcW w:w="5736" w:type="dxa"/>
            <w:gridSpan w:val="3"/>
            <w:shd w:val="clear" w:color="auto" w:fill="auto"/>
          </w:tcPr>
          <w:p w14:paraId="5783148D" w14:textId="77777777" w:rsidR="0059292C" w:rsidRPr="003701C6" w:rsidRDefault="00BA7AEC">
            <w:r w:rsidRPr="003701C6">
              <w:t>Kommunestyret</w:t>
            </w:r>
          </w:p>
        </w:tc>
      </w:tr>
    </w:tbl>
    <w:p w14:paraId="68E23FC9" w14:textId="77777777" w:rsidR="00A10FA2" w:rsidRDefault="00BA7AEC" w:rsidP="0088582F">
      <w:pPr>
        <w:pStyle w:val="Overskrift1"/>
        <w:spacing w:line="360" w:lineRule="auto"/>
      </w:pPr>
      <w:bookmarkStart w:id="5" w:name="TITTEL"/>
      <w:r>
        <w:t xml:space="preserve">Reguleringsplan for Vedal masseuttak - </w:t>
      </w:r>
      <w:r>
        <w:t>sluttbehandling etter offentlig ettersyn.</w:t>
      </w:r>
      <w:bookmarkEnd w:id="5"/>
    </w:p>
    <w:p w14:paraId="4AB5EAEB" w14:textId="77777777" w:rsidR="00733A17" w:rsidRPr="00616204" w:rsidRDefault="00BA7AEC" w:rsidP="005D03B4">
      <w:pPr>
        <w:spacing w:after="0"/>
        <w:rPr>
          <w:sz w:val="22"/>
          <w:szCs w:val="22"/>
        </w:rPr>
      </w:pPr>
      <w:r w:rsidRPr="00616204">
        <w:rPr>
          <w:sz w:val="22"/>
          <w:szCs w:val="22"/>
        </w:rPr>
        <w:t>Vedlegg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8886"/>
      </w:tblGrid>
      <w:tr w:rsidR="009463D4" w14:paraId="7CBD5FA6" w14:textId="77777777">
        <w:tc>
          <w:tcPr>
            <w:tcW w:w="0" w:type="auto"/>
          </w:tcPr>
          <w:p w14:paraId="40021E99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bookmarkStart w:id="6" w:name="VEDLEGG"/>
            <w:bookmarkEnd w:id="6"/>
            <w:r w:rsidRPr="00616204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C5CBCA2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Vedal plankart</w:t>
            </w:r>
          </w:p>
        </w:tc>
      </w:tr>
      <w:tr w:rsidR="009463D4" w14:paraId="66CF1FC6" w14:textId="77777777">
        <w:tc>
          <w:tcPr>
            <w:tcW w:w="0" w:type="auto"/>
          </w:tcPr>
          <w:p w14:paraId="080B6A7B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390097DF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Vedal planbestemmelser</w:t>
            </w:r>
          </w:p>
        </w:tc>
      </w:tr>
      <w:tr w:rsidR="009463D4" w14:paraId="1E7CDAA8" w14:textId="77777777">
        <w:tc>
          <w:tcPr>
            <w:tcW w:w="0" w:type="auto"/>
          </w:tcPr>
          <w:p w14:paraId="3302DFFF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0581727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Vedal planbeskrivelse</w:t>
            </w:r>
          </w:p>
        </w:tc>
      </w:tr>
      <w:tr w:rsidR="009463D4" w14:paraId="491B8461" w14:textId="77777777">
        <w:tc>
          <w:tcPr>
            <w:tcW w:w="0" w:type="auto"/>
          </w:tcPr>
          <w:p w14:paraId="36DD2E4E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5E4646EB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Vedal ROS-analyse</w:t>
            </w:r>
          </w:p>
        </w:tc>
      </w:tr>
      <w:tr w:rsidR="009463D4" w14:paraId="042C85A6" w14:textId="77777777">
        <w:tc>
          <w:tcPr>
            <w:tcW w:w="0" w:type="auto"/>
          </w:tcPr>
          <w:p w14:paraId="3FB2635E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399AD6BB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Vurdering - høringsuttalelser Vedal masseuttak</w:t>
            </w:r>
          </w:p>
        </w:tc>
      </w:tr>
      <w:tr w:rsidR="009463D4" w14:paraId="72841F2C" w14:textId="77777777">
        <w:tc>
          <w:tcPr>
            <w:tcW w:w="0" w:type="auto"/>
          </w:tcPr>
          <w:p w14:paraId="3B0FF03F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14:paraId="6D806A8A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Høringsuttalelser etter off. ettersyn - Vedal masseuttak</w:t>
            </w:r>
          </w:p>
        </w:tc>
      </w:tr>
      <w:tr w:rsidR="009463D4" w14:paraId="20B35280" w14:textId="77777777">
        <w:tc>
          <w:tcPr>
            <w:tcW w:w="0" w:type="auto"/>
          </w:tcPr>
          <w:p w14:paraId="51ACE2AE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14:paraId="70810540" w14:textId="77777777" w:rsidR="00733A17" w:rsidRPr="00616204" w:rsidRDefault="00BA7AEC" w:rsidP="005D03B4">
            <w:pPr>
              <w:spacing w:after="0"/>
              <w:rPr>
                <w:sz w:val="22"/>
                <w:szCs w:val="22"/>
              </w:rPr>
            </w:pPr>
            <w:r w:rsidRPr="00616204">
              <w:rPr>
                <w:sz w:val="22"/>
                <w:szCs w:val="22"/>
              </w:rPr>
              <w:t>Forslag til reguleringsplan for Vedal masseuttak - Offentlig ettersyn</w:t>
            </w:r>
          </w:p>
        </w:tc>
      </w:tr>
    </w:tbl>
    <w:p w14:paraId="1A70C1DB" w14:textId="77777777" w:rsidR="00733A17" w:rsidRPr="00616204" w:rsidRDefault="00733A17" w:rsidP="005D03B4">
      <w:pPr>
        <w:spacing w:after="0"/>
        <w:rPr>
          <w:sz w:val="22"/>
          <w:szCs w:val="22"/>
        </w:rPr>
      </w:pPr>
    </w:p>
    <w:p w14:paraId="72C9C1BA" w14:textId="77777777" w:rsidR="0030373B" w:rsidRPr="00827A8F" w:rsidRDefault="00BA7AEC" w:rsidP="00DA6852">
      <w:pPr>
        <w:pStyle w:val="Overskrift2"/>
      </w:pPr>
      <w:bookmarkStart w:id="7" w:name="Innstilling"/>
      <w:r>
        <w:t>Kommunedirektørens</w:t>
      </w:r>
      <w:r w:rsidR="00424963">
        <w:t xml:space="preserve"> </w:t>
      </w:r>
      <w:r w:rsidR="00091421">
        <w:t>innstilling</w:t>
      </w:r>
      <w:r w:rsidR="00733A17">
        <w:t>:</w:t>
      </w:r>
    </w:p>
    <w:p w14:paraId="4119EE3D" w14:textId="77777777" w:rsidR="00DD2D41" w:rsidRDefault="00BA7AEC" w:rsidP="00DD2D41">
      <w:pPr>
        <w:pStyle w:val="Listeavsnitt"/>
        <w:numPr>
          <w:ilvl w:val="0"/>
          <w:numId w:val="15"/>
        </w:numPr>
        <w:ind w:left="284" w:hanging="284"/>
      </w:pPr>
      <w:r>
        <w:t xml:space="preserve">Detaljreguleringsplan for Vedal masseuttak godkjennes i </w:t>
      </w:r>
      <w:proofErr w:type="gramStart"/>
      <w:r>
        <w:t>medhold av</w:t>
      </w:r>
      <w:proofErr w:type="gramEnd"/>
      <w:r>
        <w:t xml:space="preserve"> Plan- og bygningslovens § 12-12. Planmaterialet består av plankart, </w:t>
      </w:r>
      <w:r w:rsidR="002346FB">
        <w:t>plan</w:t>
      </w:r>
      <w:r>
        <w:t xml:space="preserve">bestemmelser og </w:t>
      </w:r>
      <w:r w:rsidR="002346FB">
        <w:t>plan</w:t>
      </w:r>
      <w:r>
        <w:t>beskrivelse som er vedlagt saken.</w:t>
      </w:r>
    </w:p>
    <w:p w14:paraId="1AD562C5" w14:textId="77777777" w:rsidR="00DD2D41" w:rsidRDefault="00BA7AEC" w:rsidP="00DD2D41">
      <w:pPr>
        <w:pStyle w:val="Listeavsnitt"/>
        <w:ind w:left="284"/>
      </w:pPr>
      <w:r>
        <w:t xml:space="preserve"> </w:t>
      </w:r>
    </w:p>
    <w:p w14:paraId="073AD36C" w14:textId="77777777" w:rsidR="002D10E8" w:rsidRDefault="00BA7AEC" w:rsidP="00DD2D41">
      <w:pPr>
        <w:pStyle w:val="Listeavsnitt"/>
        <w:numPr>
          <w:ilvl w:val="0"/>
          <w:numId w:val="15"/>
        </w:numPr>
        <w:ind w:left="284" w:hanging="284"/>
      </w:pPr>
      <w:r>
        <w:t xml:space="preserve">Planvedtaket kan i medhold av PBL. § 1-9 og forvaltningslovens § 28 påklages. En klage må framsettes skriftlig og være innkommet innen 3 uker fra vedtaket er gjort kjent. </w:t>
      </w:r>
      <w:r>
        <w:fldChar w:fldCharType="begin"/>
      </w:r>
      <w:r>
        <w:instrText xml:space="preserve">  </w:instrText>
      </w:r>
      <w:r>
        <w:fldChar w:fldCharType="end"/>
      </w:r>
    </w:p>
    <w:p w14:paraId="76CD7E05" w14:textId="77777777" w:rsidR="00EA188C" w:rsidRDefault="00EA188C" w:rsidP="003510EC"/>
    <w:p w14:paraId="446870F7" w14:textId="77777777" w:rsidR="0088582F" w:rsidRDefault="00BA7AEC" w:rsidP="007D23EB">
      <w:pPr>
        <w:pStyle w:val="Normalskjulttekst"/>
      </w:pPr>
      <w:r>
        <w:t>Slutt på innstilling</w:t>
      </w:r>
    </w:p>
    <w:bookmarkEnd w:id="7"/>
    <w:p w14:paraId="75C283FA" w14:textId="77777777" w:rsidR="00733A17" w:rsidRPr="00DA6852" w:rsidRDefault="00733A17" w:rsidP="00733A17">
      <w:pPr>
        <w:pStyle w:val="Overskrift2"/>
      </w:pPr>
    </w:p>
    <w:p w14:paraId="424DFC44" w14:textId="77777777" w:rsidR="003A0590" w:rsidRPr="003F5583" w:rsidRDefault="00BA7AEC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r>
        <w:rPr>
          <w:rFonts w:eastAsiaTheme="minorHAnsi" w:cstheme="minorBidi"/>
          <w:b/>
          <w:bCs/>
          <w:szCs w:val="22"/>
          <w:lang w:eastAsia="en-US"/>
        </w:rPr>
        <w:t>Saksprotokoll i</w:t>
      </w:r>
      <w:r w:rsidR="00F05FC1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8" w:name="UtvalgsNavn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>Plan- og næringsutvalget</w:t>
      </w:r>
      <w:bookmarkEnd w:id="8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- </w:t>
      </w:r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9" w:name="Møtedato"/>
      <w:r w:rsidR="0076101F">
        <w:rPr>
          <w:rFonts w:eastAsiaTheme="minorHAnsi" w:cstheme="minorBidi"/>
          <w:b/>
          <w:bCs/>
          <w:szCs w:val="22"/>
          <w:lang w:eastAsia="en-US"/>
        </w:rPr>
        <w:t>30.01.2024</w:t>
      </w:r>
      <w:bookmarkEnd w:id="9"/>
      <w:r w:rsidR="0076101F">
        <w:rPr>
          <w:rFonts w:eastAsiaTheme="minorHAnsi" w:cstheme="minorBidi"/>
          <w:b/>
          <w:bCs/>
          <w:szCs w:val="22"/>
          <w:lang w:eastAsia="en-US"/>
        </w:rPr>
        <w:t xml:space="preserve"> - </w:t>
      </w:r>
      <w:bookmarkStart w:id="10" w:name="møtesaksnr"/>
      <w:r w:rsidR="0076101F">
        <w:rPr>
          <w:rFonts w:eastAsiaTheme="minorHAnsi" w:cstheme="minorBidi"/>
          <w:b/>
          <w:bCs/>
          <w:szCs w:val="22"/>
          <w:lang w:eastAsia="en-US"/>
        </w:rPr>
        <w:t>2/2024</w:t>
      </w:r>
      <w:bookmarkEnd w:id="10"/>
      <w:r w:rsidR="0076101F">
        <w:rPr>
          <w:rFonts w:eastAsiaTheme="minorHAnsi" w:cstheme="minorBidi"/>
          <w:b/>
          <w:bCs/>
          <w:szCs w:val="22"/>
          <w:lang w:eastAsia="en-US"/>
        </w:rPr>
        <w:t xml:space="preserve"> :</w:t>
      </w:r>
    </w:p>
    <w:p w14:paraId="44D38CA7" w14:textId="77777777" w:rsidR="00E47299" w:rsidRDefault="00BA7AEC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Behandling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  <w:r w:rsidR="00406EC9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02C7B53E" w14:textId="77777777" w:rsidR="007C63E7" w:rsidRPr="00167CE2" w:rsidRDefault="00BA7AEC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1" w:name="Behandling"/>
      <w:r w:rsidRPr="00167CE2">
        <w:rPr>
          <w:rFonts w:eastAsiaTheme="minorHAnsi" w:cstheme="minorBidi"/>
          <w:b/>
          <w:bCs/>
          <w:szCs w:val="22"/>
          <w:lang w:eastAsia="en-US"/>
        </w:rPr>
        <w:t>Enstemmig vedtak:</w:t>
      </w:r>
      <w:r w:rsidRPr="00167CE2">
        <w:rPr>
          <w:rFonts w:eastAsiaTheme="minorHAnsi" w:cstheme="minorBidi"/>
          <w:b/>
          <w:bCs/>
          <w:szCs w:val="22"/>
          <w:lang w:eastAsia="en-US"/>
        </w:rPr>
        <w:br/>
      </w:r>
      <w:r w:rsidRPr="00167CE2">
        <w:rPr>
          <w:rFonts w:eastAsiaTheme="minorHAnsi" w:cstheme="minorBidi"/>
          <w:bCs/>
          <w:szCs w:val="22"/>
          <w:lang w:eastAsia="en-US"/>
        </w:rPr>
        <w:t>Kommunedirektørens innstilling ble enstemmig vedtatt.</w:t>
      </w:r>
    </w:p>
    <w:bookmarkEnd w:id="11"/>
    <w:p w14:paraId="4280C571" w14:textId="77777777" w:rsidR="007C63E7" w:rsidRPr="00167CE2" w:rsidRDefault="007C63E7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6123698D" w14:textId="77777777" w:rsidR="00872A1E" w:rsidRPr="00964EC1" w:rsidRDefault="00BA7AEC" w:rsidP="00964EC1">
      <w:pPr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Vedtak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</w:p>
    <w:p w14:paraId="26952D7A" w14:textId="77777777" w:rsidR="005D76A3" w:rsidRPr="00714946" w:rsidRDefault="00BA7AEC" w:rsidP="00847D75">
      <w:pPr>
        <w:pStyle w:val="MsoNoSpacing0"/>
        <w:spacing w:after="0"/>
      </w:pPr>
      <w:bookmarkStart w:id="12" w:name="Vedtak"/>
      <w:r w:rsidRPr="00714946">
        <w:rPr>
          <w:rFonts w:ascii="Arial" w:eastAsia="Arial" w:hAnsi="Arial" w:cs="Arial"/>
          <w:szCs w:val="24"/>
        </w:rPr>
        <w:lastRenderedPageBreak/>
        <w:t xml:space="preserve">1.Detaljreguleringsplan for Vedal masseuttak godkjennes i medhold av Plan- og bygningslovens § 12-12. Planmaterialet består av plankart, planbestemmelser og planbeskrivelse som er </w:t>
      </w:r>
      <w:r w:rsidRPr="00714946">
        <w:rPr>
          <w:rFonts w:ascii="Arial" w:eastAsia="Arial" w:hAnsi="Arial" w:cs="Arial"/>
          <w:szCs w:val="24"/>
        </w:rPr>
        <w:t>vedlagt saken.</w:t>
      </w:r>
    </w:p>
    <w:p w14:paraId="43FE6056" w14:textId="77777777" w:rsidR="005D76A3" w:rsidRPr="00714946" w:rsidRDefault="00BA7AEC" w:rsidP="00847D75">
      <w:pPr>
        <w:pStyle w:val="MsoNoSpacing0"/>
        <w:spacing w:after="0"/>
      </w:pPr>
      <w:r w:rsidRPr="00714946">
        <w:rPr>
          <w:rFonts w:ascii="Arial" w:eastAsia="Arial" w:hAnsi="Arial" w:cs="Arial"/>
          <w:szCs w:val="24"/>
        </w:rPr>
        <w:t xml:space="preserve">2.Planvedtaket kan i medhold av PBL. § 1-9 og forvaltningslovens § 28 påklages. En klage må framsettes skriftlig og være innkommet innen 3 uker fra vedtaket er gjort kjent. </w:t>
      </w:r>
    </w:p>
    <w:bookmarkEnd w:id="12"/>
    <w:p w14:paraId="10C293DE" w14:textId="77777777" w:rsidR="005D76A3" w:rsidRPr="00714946" w:rsidRDefault="005D76A3" w:rsidP="00847D75">
      <w:pPr>
        <w:spacing w:after="0"/>
        <w:rPr>
          <w:rFonts w:eastAsia="Calibri"/>
          <w:szCs w:val="22"/>
          <w:lang w:eastAsia="en-US"/>
        </w:rPr>
      </w:pPr>
    </w:p>
    <w:p w14:paraId="13AF7036" w14:textId="77777777" w:rsidR="003A0590" w:rsidRPr="003F5583" w:rsidRDefault="00BA7AEC" w:rsidP="003F5583">
      <w:pPr>
        <w:spacing w:line="360" w:lineRule="auto"/>
        <w:rPr>
          <w:rFonts w:eastAsia="Calibri"/>
          <w:b/>
          <w:bCs/>
          <w:szCs w:val="22"/>
          <w:lang w:eastAsia="en-US"/>
        </w:rPr>
      </w:pPr>
      <w:r>
        <w:rPr>
          <w:rFonts w:eastAsiaTheme="minorHAnsi" w:cstheme="minorBidi"/>
          <w:b/>
          <w:bCs/>
          <w:szCs w:val="22"/>
          <w:lang w:eastAsia="en-US"/>
        </w:rPr>
        <w:t>Saksprotokoll i</w:t>
      </w:r>
      <w:r w:rsidR="00F05FC1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13" w:name="UtvalgsNavn_0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>Kommunestyret</w:t>
      </w:r>
      <w:bookmarkEnd w:id="13"/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r>
        <w:rPr>
          <w:rFonts w:eastAsiaTheme="minorHAnsi" w:cstheme="minorBidi"/>
          <w:b/>
          <w:bCs/>
          <w:szCs w:val="22"/>
          <w:lang w:eastAsia="en-US"/>
        </w:rPr>
        <w:t xml:space="preserve">- </w:t>
      </w:r>
      <w:r w:rsidR="00872A1E" w:rsidRPr="007229E9">
        <w:rPr>
          <w:rFonts w:eastAsiaTheme="minorHAnsi" w:cstheme="minorBidi"/>
          <w:b/>
          <w:bCs/>
          <w:szCs w:val="22"/>
          <w:lang w:eastAsia="en-US"/>
        </w:rPr>
        <w:t xml:space="preserve"> </w:t>
      </w:r>
      <w:bookmarkStart w:id="14" w:name="Møtedato_0"/>
      <w:r w:rsidR="0076101F">
        <w:rPr>
          <w:rFonts w:eastAsiaTheme="minorHAnsi" w:cstheme="minorBidi"/>
          <w:b/>
          <w:bCs/>
          <w:szCs w:val="22"/>
          <w:lang w:eastAsia="en-US"/>
        </w:rPr>
        <w:t>21.02.2024</w:t>
      </w:r>
      <w:bookmarkEnd w:id="14"/>
      <w:r w:rsidR="0076101F">
        <w:rPr>
          <w:rFonts w:eastAsiaTheme="minorHAnsi" w:cstheme="minorBidi"/>
          <w:b/>
          <w:bCs/>
          <w:szCs w:val="22"/>
          <w:lang w:eastAsia="en-US"/>
        </w:rPr>
        <w:t xml:space="preserve"> - </w:t>
      </w:r>
      <w:bookmarkStart w:id="15" w:name="møtesaksnr_0"/>
      <w:r w:rsidR="0076101F">
        <w:rPr>
          <w:rFonts w:eastAsiaTheme="minorHAnsi" w:cstheme="minorBidi"/>
          <w:b/>
          <w:bCs/>
          <w:szCs w:val="22"/>
          <w:lang w:eastAsia="en-US"/>
        </w:rPr>
        <w:t>7/2024</w:t>
      </w:r>
      <w:bookmarkEnd w:id="15"/>
      <w:r w:rsidR="0076101F">
        <w:rPr>
          <w:rFonts w:eastAsiaTheme="minorHAnsi" w:cstheme="minorBidi"/>
          <w:b/>
          <w:bCs/>
          <w:szCs w:val="22"/>
          <w:lang w:eastAsia="en-US"/>
        </w:rPr>
        <w:t xml:space="preserve"> :</w:t>
      </w:r>
    </w:p>
    <w:p w14:paraId="4C7082CF" w14:textId="77777777" w:rsidR="00E47299" w:rsidRDefault="00BA7AEC" w:rsidP="007C63E7">
      <w:pPr>
        <w:spacing w:after="0" w:line="360" w:lineRule="auto"/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Behandling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  <w:r w:rsidR="00406EC9">
        <w:rPr>
          <w:rFonts w:eastAsiaTheme="minorHAnsi" w:cstheme="minorBidi"/>
          <w:b/>
          <w:szCs w:val="22"/>
          <w:lang w:eastAsia="en-US"/>
        </w:rPr>
        <w:t xml:space="preserve"> </w:t>
      </w:r>
    </w:p>
    <w:p w14:paraId="13572C13" w14:textId="77777777" w:rsidR="007C63E7" w:rsidRPr="00167CE2" w:rsidRDefault="00BA7AEC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  <w:bookmarkStart w:id="16" w:name="Behandling_0"/>
      <w:r w:rsidRPr="00167CE2">
        <w:rPr>
          <w:rFonts w:eastAsiaTheme="minorHAnsi" w:cstheme="minorBidi"/>
          <w:b/>
          <w:bCs/>
          <w:szCs w:val="22"/>
          <w:lang w:eastAsia="en-US"/>
        </w:rPr>
        <w:t>Enstemmig vedtak:</w:t>
      </w:r>
      <w:r w:rsidRPr="00167CE2">
        <w:rPr>
          <w:rFonts w:eastAsiaTheme="minorHAnsi" w:cstheme="minorBidi"/>
          <w:b/>
          <w:bCs/>
          <w:szCs w:val="22"/>
          <w:lang w:eastAsia="en-US"/>
        </w:rPr>
        <w:br/>
      </w:r>
      <w:r w:rsidRPr="00167CE2">
        <w:rPr>
          <w:rFonts w:eastAsiaTheme="minorHAnsi" w:cstheme="minorBidi"/>
          <w:bCs/>
          <w:szCs w:val="22"/>
          <w:lang w:eastAsia="en-US"/>
        </w:rPr>
        <w:t>Plan- og næringsutvalgets innstilling ble enstemmig vedtatt.</w:t>
      </w:r>
    </w:p>
    <w:bookmarkEnd w:id="16"/>
    <w:p w14:paraId="12428576" w14:textId="77777777" w:rsidR="007C63E7" w:rsidRPr="00167CE2" w:rsidRDefault="007C63E7" w:rsidP="007C63E7">
      <w:pPr>
        <w:spacing w:after="0" w:line="360" w:lineRule="auto"/>
        <w:rPr>
          <w:rFonts w:eastAsia="Calibri"/>
          <w:bCs/>
          <w:szCs w:val="22"/>
          <w:lang w:eastAsia="en-US"/>
        </w:rPr>
      </w:pPr>
    </w:p>
    <w:p w14:paraId="1D06A7F5" w14:textId="77777777" w:rsidR="00872A1E" w:rsidRPr="00964EC1" w:rsidRDefault="00BA7AEC" w:rsidP="00964EC1">
      <w:pPr>
        <w:rPr>
          <w:rFonts w:eastAsia="Calibri"/>
          <w:b/>
          <w:szCs w:val="22"/>
          <w:lang w:eastAsia="en-US"/>
        </w:rPr>
      </w:pPr>
      <w:r w:rsidRPr="00964EC1">
        <w:rPr>
          <w:rFonts w:eastAsiaTheme="minorHAnsi" w:cstheme="minorBidi"/>
          <w:b/>
          <w:szCs w:val="22"/>
          <w:lang w:eastAsia="en-US"/>
        </w:rPr>
        <w:t>Vedtak</w:t>
      </w:r>
      <w:r w:rsidR="00565642">
        <w:rPr>
          <w:rFonts w:eastAsiaTheme="minorHAnsi" w:cstheme="minorBidi"/>
          <w:b/>
          <w:szCs w:val="22"/>
          <w:lang w:eastAsia="en-US"/>
        </w:rPr>
        <w:t>:</w:t>
      </w:r>
    </w:p>
    <w:p w14:paraId="23661C4D" w14:textId="77777777" w:rsidR="005D76A3" w:rsidRPr="00714946" w:rsidRDefault="00BA7AEC" w:rsidP="00847D75">
      <w:pPr>
        <w:spacing w:after="0"/>
        <w:rPr>
          <w:rFonts w:eastAsia="Calibri"/>
          <w:szCs w:val="22"/>
          <w:lang w:eastAsia="en-US"/>
        </w:rPr>
      </w:pPr>
      <w:bookmarkStart w:id="17" w:name="Vedtak_0"/>
      <w:r w:rsidRPr="00714946">
        <w:rPr>
          <w:rFonts w:ascii="Arial" w:eastAsia="Arial" w:hAnsi="Arial" w:cs="Arial"/>
          <w:lang w:eastAsia="en-US"/>
        </w:rPr>
        <w:t xml:space="preserve">1.Detaljreguleringsplan for Vedal masseuttak godkjennes i medhold av Plan- og bygningslovens § 12-12. Planmaterialet består av plankart, </w:t>
      </w:r>
      <w:r w:rsidRPr="00714946">
        <w:rPr>
          <w:rFonts w:ascii="Arial" w:eastAsia="Arial" w:hAnsi="Arial" w:cs="Arial"/>
          <w:lang w:eastAsia="en-US"/>
        </w:rPr>
        <w:t>planbestemmelser og planbeskrivelse som er vedlagt saken.</w:t>
      </w:r>
    </w:p>
    <w:p w14:paraId="1F587597" w14:textId="77777777" w:rsidR="005D76A3" w:rsidRPr="00714946" w:rsidRDefault="00BA7AEC" w:rsidP="00847D75">
      <w:pPr>
        <w:pStyle w:val="MsoNoSpacing0"/>
        <w:spacing w:after="0"/>
      </w:pPr>
      <w:r w:rsidRPr="00714946">
        <w:rPr>
          <w:rFonts w:ascii="Arial" w:eastAsia="Arial" w:hAnsi="Arial" w:cs="Arial"/>
          <w:szCs w:val="24"/>
        </w:rPr>
        <w:t xml:space="preserve">2.Planvedtaket kan i medhold av PBL. § 1-9 og forvaltningslovens § 28 påklages. En klage må framsettes skriftlig og være innkommet innen 3 uker fra vedtaket er gjort kjent. </w:t>
      </w:r>
    </w:p>
    <w:bookmarkEnd w:id="17"/>
    <w:p w14:paraId="1FA3DD80" w14:textId="77777777" w:rsidR="005D76A3" w:rsidRPr="00714946" w:rsidRDefault="005D76A3" w:rsidP="00847D75">
      <w:pPr>
        <w:spacing w:after="0"/>
        <w:rPr>
          <w:rFonts w:eastAsia="Calibri"/>
          <w:szCs w:val="22"/>
          <w:lang w:eastAsia="en-US"/>
        </w:rPr>
      </w:pPr>
    </w:p>
    <w:p w14:paraId="6C754174" w14:textId="77777777" w:rsidR="009463D4" w:rsidRPr="00DA6852" w:rsidRDefault="00BA7AEC" w:rsidP="00733A17">
      <w:pPr>
        <w:pStyle w:val="Overskrift2"/>
      </w:pPr>
      <w:r w:rsidRPr="00DA6852">
        <w:t>Bakgrunn for saken</w:t>
      </w:r>
      <w:r>
        <w:t>:</w:t>
      </w:r>
    </w:p>
    <w:p w14:paraId="695CE3B1" w14:textId="77777777" w:rsidR="00DD2D41" w:rsidRPr="00FC1ECB" w:rsidRDefault="00DD2D41" w:rsidP="00DD2D4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bookmarkStart w:id="18" w:name="Start"/>
      <w:bookmarkEnd w:id="18"/>
    </w:p>
    <w:p w14:paraId="2B97F483" w14:textId="77777777" w:rsidR="00524140" w:rsidRDefault="00BA7AEC" w:rsidP="00DD2D4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FC1ECB">
        <w:rPr>
          <w:rFonts w:cs="Calibri"/>
          <w:color w:val="000000"/>
        </w:rPr>
        <w:t xml:space="preserve">Formannskapet vedtok i møte </w:t>
      </w:r>
      <w:r>
        <w:rPr>
          <w:rFonts w:cs="Calibri"/>
          <w:color w:val="000000"/>
        </w:rPr>
        <w:t>04.05.22 å</w:t>
      </w:r>
      <w:r w:rsidRPr="00FC1ECB">
        <w:rPr>
          <w:rFonts w:cs="Calibri"/>
          <w:color w:val="000000"/>
        </w:rPr>
        <w:t xml:space="preserve"> legge ut forslag til reguleringsplan for </w:t>
      </w:r>
      <w:r>
        <w:rPr>
          <w:rFonts w:cs="Calibri"/>
          <w:color w:val="000000"/>
        </w:rPr>
        <w:t xml:space="preserve">Vedal </w:t>
      </w:r>
      <w:r w:rsidRPr="00BF0F75">
        <w:rPr>
          <w:rFonts w:cs="Calibri"/>
          <w:color w:val="000000"/>
        </w:rPr>
        <w:t xml:space="preserve">masseuttak </w:t>
      </w:r>
      <w:r w:rsidRPr="00FC1ECB">
        <w:rPr>
          <w:rFonts w:cs="Calibri"/>
          <w:color w:val="000000"/>
        </w:rPr>
        <w:t xml:space="preserve">til offentlig ettersyn i 8 uker. </w:t>
      </w:r>
      <w:r>
        <w:rPr>
          <w:rFonts w:cs="Calibri"/>
          <w:color w:val="000000"/>
        </w:rPr>
        <w:t>Med bakgrunn i nye politikere og ny organisering, vedlegges saksframlegg fra tidligere behandling.</w:t>
      </w:r>
    </w:p>
    <w:p w14:paraId="7F8C1F0D" w14:textId="77777777" w:rsidR="00DD2D41" w:rsidRPr="00FC1ECB" w:rsidRDefault="00BA7AEC" w:rsidP="00DD2D41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>
        <w:rPr>
          <w:rFonts w:cs="Calibri"/>
          <w:color w:val="000000"/>
        </w:rPr>
        <w:t xml:space="preserve"> </w:t>
      </w:r>
    </w:p>
    <w:p w14:paraId="3D903148" w14:textId="77777777" w:rsidR="00DD2D41" w:rsidRPr="00FC1ECB" w:rsidRDefault="00BA7AEC" w:rsidP="00DD2D41">
      <w:pPr>
        <w:autoSpaceDE w:val="0"/>
        <w:autoSpaceDN w:val="0"/>
        <w:adjustRightInd w:val="0"/>
        <w:spacing w:after="0"/>
        <w:ind w:right="-142"/>
        <w:rPr>
          <w:rFonts w:cs="Calibri"/>
          <w:color w:val="000000"/>
        </w:rPr>
      </w:pPr>
      <w:r w:rsidRPr="00FC1ECB">
        <w:rPr>
          <w:rFonts w:cs="Calibri"/>
          <w:color w:val="000000"/>
        </w:rPr>
        <w:t xml:space="preserve">Planmateriale </w:t>
      </w:r>
      <w:r>
        <w:rPr>
          <w:rFonts w:cs="Calibri"/>
          <w:color w:val="000000"/>
        </w:rPr>
        <w:t xml:space="preserve">som har vært </w:t>
      </w:r>
      <w:r w:rsidRPr="00FC1ECB">
        <w:rPr>
          <w:rFonts w:cs="Calibri"/>
          <w:color w:val="000000"/>
        </w:rPr>
        <w:t xml:space="preserve">lagt ut til offentlig ettersyn har bestått av </w:t>
      </w:r>
      <w:r w:rsidRPr="00BF0F75">
        <w:t>reguleringsplankart, reguleringsbestemmelser og planbeskrivelse</w:t>
      </w:r>
      <w:r w:rsidR="003C3EB7">
        <w:t>.</w:t>
      </w:r>
      <w:r w:rsidRPr="00FC1ECB">
        <w:rPr>
          <w:rFonts w:cs="Calibri"/>
          <w:color w:val="000000"/>
        </w:rPr>
        <w:t xml:space="preserve"> </w:t>
      </w:r>
    </w:p>
    <w:p w14:paraId="5FBF5EDC" w14:textId="77777777" w:rsidR="00DD2D41" w:rsidRDefault="00DD2D41" w:rsidP="00DD2D41"/>
    <w:p w14:paraId="4BA7179B" w14:textId="77777777" w:rsidR="002346FB" w:rsidRDefault="002346FB" w:rsidP="00DD2D41"/>
    <w:p w14:paraId="64416E8C" w14:textId="77777777" w:rsidR="00DD2D41" w:rsidRPr="00C974A6" w:rsidRDefault="00BA7AEC" w:rsidP="00DD2D41">
      <w:pPr>
        <w:rPr>
          <w:u w:val="single"/>
        </w:rPr>
      </w:pPr>
      <w:r w:rsidRPr="00C974A6">
        <w:rPr>
          <w:u w:val="single"/>
        </w:rPr>
        <w:t>Kort oppsummering av planforslag.</w:t>
      </w:r>
    </w:p>
    <w:p w14:paraId="3D3AD783" w14:textId="77777777" w:rsidR="00DD2D41" w:rsidRDefault="00BA7AEC" w:rsidP="00DD2D41">
      <w:r>
        <w:t xml:space="preserve">Planforslaget bygger på kommuneplanens arealdel </w:t>
      </w:r>
      <w:r w:rsidR="00034DBD">
        <w:t>som ble vedtatt i 2020 og hvor aktuelle område på Vedal ble avsatt</w:t>
      </w:r>
      <w:r>
        <w:t xml:space="preserve"> for råstoffutvinning</w:t>
      </w:r>
      <w:r w:rsidR="00034DBD">
        <w:t>.</w:t>
      </w:r>
      <w:r>
        <w:t xml:space="preserve">  </w:t>
      </w:r>
    </w:p>
    <w:p w14:paraId="156A9096" w14:textId="77777777" w:rsidR="00DD2D41" w:rsidRDefault="00BA7AEC" w:rsidP="00DD2D41">
      <w:pPr>
        <w:pStyle w:val="Overskrift2"/>
        <w:rPr>
          <w:b w:val="0"/>
          <w:bCs w:val="0"/>
        </w:rPr>
      </w:pPr>
      <w:r>
        <w:rPr>
          <w:b w:val="0"/>
          <w:bCs w:val="0"/>
        </w:rPr>
        <w:t xml:space="preserve">Brønnøysundområdet har mangel på «kortreiste» masser til bygge- og anleggsprosjekter. Gjennom kommuneplanens arealdel ble det derfor pekt ut to områder for masseuttak som </w:t>
      </w:r>
      <w:r w:rsidRPr="00822C12">
        <w:rPr>
          <w:b w:val="0"/>
          <w:bCs w:val="0"/>
        </w:rPr>
        <w:t>kunne dekke lokale behov mineralske masser (stein, pukk og grus) til bygge- og anleggsprosjekter..</w:t>
      </w:r>
      <w:r>
        <w:rPr>
          <w:b w:val="0"/>
          <w:bCs w:val="0"/>
        </w:rPr>
        <w:t xml:space="preserve"> </w:t>
      </w:r>
    </w:p>
    <w:p w14:paraId="343995B9" w14:textId="77777777" w:rsidR="00DD2D41" w:rsidRDefault="00BA7AEC" w:rsidP="00DD2D41">
      <w:r>
        <w:t>Dette er bakgrunnen for det reguleringsplanforslag som nå er til behandling.</w:t>
      </w:r>
    </w:p>
    <w:p w14:paraId="20319BC6" w14:textId="77777777" w:rsidR="00DD2D41" w:rsidRDefault="00BA7AEC" w:rsidP="00DD2D41">
      <w:r>
        <w:t xml:space="preserve">Et slikt uttak medfører et relativt stort terreng- og naturinngrep, men det er gjennom </w:t>
      </w:r>
      <w:r>
        <w:t>planbestemmelser satt kriterier som i driftsfasen og i ettertid har til hensikt å begrense konsekvenser for omgivelsene.</w:t>
      </w:r>
    </w:p>
    <w:p w14:paraId="2A31ABEF" w14:textId="77777777" w:rsidR="00DD2D41" w:rsidRDefault="00BA7AEC" w:rsidP="00DD2D41">
      <w:r>
        <w:t xml:space="preserve"> </w:t>
      </w:r>
    </w:p>
    <w:p w14:paraId="4E9DC1B8" w14:textId="77777777" w:rsidR="00DD2D41" w:rsidRPr="00E86CEB" w:rsidRDefault="00BA7AEC" w:rsidP="00DD2D41">
      <w:pPr>
        <w:rPr>
          <w:u w:val="single"/>
        </w:rPr>
      </w:pPr>
      <w:r w:rsidRPr="00E86CEB">
        <w:rPr>
          <w:u w:val="single"/>
        </w:rPr>
        <w:lastRenderedPageBreak/>
        <w:t>Høringsuttalelser</w:t>
      </w:r>
      <w:r>
        <w:rPr>
          <w:u w:val="single"/>
        </w:rPr>
        <w:t xml:space="preserve"> med oppfølging</w:t>
      </w:r>
      <w:r w:rsidRPr="00E86CEB">
        <w:rPr>
          <w:u w:val="single"/>
        </w:rPr>
        <w:t>.</w:t>
      </w:r>
    </w:p>
    <w:p w14:paraId="151D9E24" w14:textId="77777777" w:rsidR="00DD2D41" w:rsidRDefault="00BA7AEC" w:rsidP="00DD2D41">
      <w:r w:rsidRPr="00E86CEB">
        <w:t xml:space="preserve">Etter </w:t>
      </w:r>
      <w:r>
        <w:t>høringsfrist for offentlig ettersyn er det innkommet tilbakemeldinger fra 6 høringsparter. Merknader/innsigelse er kort oppsummert</w:t>
      </w:r>
      <w:r w:rsidRPr="00E86CEB">
        <w:t xml:space="preserve">: </w:t>
      </w:r>
    </w:p>
    <w:p w14:paraId="2C488CF1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Norges vassdrags- og energidirektorat (NVE). </w:t>
      </w:r>
      <w:r>
        <w:t xml:space="preserve">Har gitt </w:t>
      </w:r>
      <w:r w:rsidRPr="00B17ED4">
        <w:rPr>
          <w:b/>
          <w:bCs/>
        </w:rPr>
        <w:t>innsigelse</w:t>
      </w:r>
      <w:r>
        <w:t xml:space="preserve"> til planforslaget med utgangspunkt i at fare for skred ikke er tilstrekkelig vurdert i planen.</w:t>
      </w:r>
    </w:p>
    <w:p w14:paraId="7653C66D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Direktoratet for mineralforvaltning (DMF). </w:t>
      </w:r>
      <w:r>
        <w:t xml:space="preserve">Innspill til bestemmelser, driftsplan og beskrivelse av ressurs og uttak. </w:t>
      </w:r>
    </w:p>
    <w:p w14:paraId="06F02B61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Statsforvalteren i Nordland. </w:t>
      </w:r>
      <w:r>
        <w:t xml:space="preserve">Statsforvalteren påpeker inngrepets landskapsmessige virkning, spesielt sett fra vest. Videre problemstillinger omkring støy/støv og anmerker at det burde vært utarbeidet en støyfaglig utredning. </w:t>
      </w:r>
    </w:p>
    <w:p w14:paraId="46BCCB61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Nordland fylkeskommune (NKF). </w:t>
      </w:r>
      <w:r>
        <w:t>Minner om aktsomhetsplikt for kulturminner. Ellers ingen særskilte merknader til planforslaget.</w:t>
      </w:r>
    </w:p>
    <w:p w14:paraId="53D32958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Statens vegvesen. </w:t>
      </w:r>
      <w:r>
        <w:t>Forutsetter at samferdselsanlegg utføres i h.h.t. vegnormaler, ellers ingen merknader.</w:t>
      </w:r>
    </w:p>
    <w:p w14:paraId="66E5FE64" w14:textId="77777777" w:rsidR="00DD2D41" w:rsidRDefault="00BA7AEC" w:rsidP="00DD2D41">
      <w:pPr>
        <w:pStyle w:val="Ingenmellomrom"/>
        <w:numPr>
          <w:ilvl w:val="0"/>
          <w:numId w:val="16"/>
        </w:numPr>
      </w:pPr>
      <w:r w:rsidRPr="00E86CEB">
        <w:t xml:space="preserve">Linea. </w:t>
      </w:r>
      <w:r>
        <w:t>Viser til tidligere innspill ved oppstart av plan. Ingen merknader ut over dette.</w:t>
      </w:r>
    </w:p>
    <w:p w14:paraId="205D31F9" w14:textId="77777777" w:rsidR="00DD2D41" w:rsidRDefault="00DD2D41" w:rsidP="00DD2D41">
      <w:pPr>
        <w:pStyle w:val="Ingenmellomrom"/>
      </w:pPr>
    </w:p>
    <w:p w14:paraId="3252E9A9" w14:textId="77777777" w:rsidR="00DD2D41" w:rsidRDefault="00BA7AEC" w:rsidP="00DD2D41">
      <w:pPr>
        <w:pStyle w:val="Ingenmellomrom"/>
      </w:pPr>
      <w:r>
        <w:t xml:space="preserve">Bygg tech AS som har utarbeidet planforslaget har vurdert innkomne merknader og innsigelse. </w:t>
      </w:r>
      <w:r w:rsidR="002346FB">
        <w:br/>
      </w:r>
      <w:r>
        <w:t>I sin vurdering er følgende anført: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88"/>
      </w:tblGrid>
      <w:tr w:rsidR="009463D4" w14:paraId="31308B72" w14:textId="77777777" w:rsidTr="00902653">
        <w:trPr>
          <w:trHeight w:val="2488"/>
        </w:trPr>
        <w:tc>
          <w:tcPr>
            <w:tcW w:w="9209" w:type="dxa"/>
          </w:tcPr>
          <w:p w14:paraId="31DAC7D2" w14:textId="77777777" w:rsidR="00DD2D41" w:rsidRDefault="00BA7AEC" w:rsidP="00902653">
            <w:pPr>
              <w:pStyle w:val="Ingenmellomrom"/>
            </w:pPr>
            <w:r>
              <w:rPr>
                <w:noProof/>
              </w:rPr>
              <w:drawing>
                <wp:inline distT="0" distB="0" distL="0" distR="0" wp14:anchorId="088BE3B1" wp14:editId="79AAA862">
                  <wp:extent cx="5760720" cy="1561465"/>
                  <wp:effectExtent l="0" t="0" r="0" b="635"/>
                  <wp:docPr id="1861957513" name="Bilde 1" descr="Et bilde som inneholder tekst, skjermbilde, Font, lin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957513" name="Bilde 1" descr="Et bilde som inneholder tekst, skjermbilde, Font, line&#10;&#10;Automatisk generert beskrivels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56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626B2F" w14:textId="77777777" w:rsidR="00DD2D41" w:rsidRDefault="00DD2D41" w:rsidP="00DD2D41">
      <w:pPr>
        <w:pStyle w:val="Ingenmellomrom"/>
      </w:pPr>
    </w:p>
    <w:p w14:paraId="10B6AA97" w14:textId="77777777" w:rsidR="00DD2D41" w:rsidRDefault="00BA7AEC" w:rsidP="00DD2D41">
      <w:pPr>
        <w:pStyle w:val="Ingenmellomrom"/>
      </w:pPr>
      <w:r>
        <w:t>Merknader og innsigelse er fulgt opp med ny utredning og vurderinger. Oppdaterte plandokumenter har vært oversendt NVE, DMF og Statsforvalteren til vurdering / tilleggshøring.</w:t>
      </w:r>
    </w:p>
    <w:p w14:paraId="4ABB2564" w14:textId="77777777" w:rsidR="00524140" w:rsidRDefault="00BA7AEC" w:rsidP="00DD2D41">
      <w:pPr>
        <w:pStyle w:val="Ingenmellomrom"/>
      </w:pPr>
      <w:r>
        <w:t>Med bakgrunn i dette har NVE trukket sin innsigelse</w:t>
      </w:r>
      <w:r w:rsidR="00255EBF">
        <w:t xml:space="preserve">. </w:t>
      </w:r>
    </w:p>
    <w:p w14:paraId="0896528F" w14:textId="77777777" w:rsidR="003C3EB7" w:rsidRDefault="00BA7AEC" w:rsidP="00DD2D41">
      <w:pPr>
        <w:pStyle w:val="Ingenmellomrom"/>
      </w:pPr>
      <w:r w:rsidRPr="003C3EB7">
        <w:t xml:space="preserve">Reguleringsbestemmelsene er også justert </w:t>
      </w:r>
      <w:r w:rsidR="00524140">
        <w:t>etter</w:t>
      </w:r>
      <w:r w:rsidRPr="003C3EB7">
        <w:t xml:space="preserve"> råd fra NVE om at avbøtende tiltak må gjennomføres før tiltak i farehensynssone i H_310 kan skje, jfr. bestemmelsenes pkt. 5.2.</w:t>
      </w:r>
      <w:r w:rsidR="002346FB" w:rsidRPr="003C3EB7">
        <w:t xml:space="preserve"> </w:t>
      </w:r>
    </w:p>
    <w:p w14:paraId="09E9FAA4" w14:textId="77777777" w:rsidR="003C3EB7" w:rsidRDefault="003C3EB7" w:rsidP="00DD2D41">
      <w:pPr>
        <w:pStyle w:val="Ingenmellomrom"/>
      </w:pPr>
    </w:p>
    <w:p w14:paraId="70410C04" w14:textId="77777777" w:rsidR="003C3EB7" w:rsidRDefault="00BA7AEC" w:rsidP="00DD2D41">
      <w:pPr>
        <w:pStyle w:val="Ingenmellomrom"/>
      </w:pPr>
      <w:r>
        <w:t xml:space="preserve">DMF har ingen merknader til justerte bestemmelser. </w:t>
      </w:r>
      <w:r>
        <w:br/>
      </w:r>
    </w:p>
    <w:p w14:paraId="0A76D644" w14:textId="77777777" w:rsidR="00DD2D41" w:rsidRDefault="00BA7AEC" w:rsidP="00DD2D41">
      <w:pPr>
        <w:pStyle w:val="Ingenmellomrom"/>
      </w:pPr>
      <w:r>
        <w:t>Ellers er det ikke innkommet nye merknader etter justeringer.</w:t>
      </w:r>
    </w:p>
    <w:p w14:paraId="0C0695E5" w14:textId="77777777" w:rsidR="003C3EB7" w:rsidRDefault="003C3EB7" w:rsidP="00DD2D41">
      <w:pPr>
        <w:pStyle w:val="Ingenmellomrom"/>
      </w:pPr>
    </w:p>
    <w:p w14:paraId="73B12597" w14:textId="77777777" w:rsidR="00DD2D41" w:rsidRPr="00CA7959" w:rsidRDefault="00BA7AEC" w:rsidP="00DD2D41">
      <w:pPr>
        <w:pStyle w:val="Overskrift2"/>
        <w:rPr>
          <w:b w:val="0"/>
          <w:bCs w:val="0"/>
        </w:rPr>
      </w:pPr>
      <w:r w:rsidRPr="00DA6852">
        <w:t>Vurdering</w:t>
      </w:r>
      <w:r>
        <w:t>:</w:t>
      </w:r>
    </w:p>
    <w:p w14:paraId="6DFC02EB" w14:textId="77777777" w:rsidR="00DD2D41" w:rsidRDefault="00BA7AEC" w:rsidP="00DD2D41">
      <w:r>
        <w:br/>
      </w:r>
      <w:r w:rsidRPr="00311BFF">
        <w:rPr>
          <w:u w:val="single"/>
        </w:rPr>
        <w:t>Innspill etter offentlig ettersyn</w:t>
      </w:r>
      <w:r w:rsidR="005E1600">
        <w:rPr>
          <w:u w:val="single"/>
        </w:rPr>
        <w:t xml:space="preserve"> og tilleggshøring</w:t>
      </w:r>
      <w:r w:rsidRPr="00311BFF">
        <w:rPr>
          <w:u w:val="single"/>
        </w:rPr>
        <w:t>.</w:t>
      </w:r>
    </w:p>
    <w:p w14:paraId="7808F551" w14:textId="77777777" w:rsidR="00DD2D41" w:rsidRDefault="00BA7AEC" w:rsidP="00DD2D41">
      <w:pPr>
        <w:ind w:right="-142"/>
      </w:pPr>
      <w:r>
        <w:t xml:space="preserve">Innspill etter offentlig ettersyn er vurdert og kommentert av planlegger i dokument </w:t>
      </w:r>
      <w:r w:rsidR="005E1600">
        <w:br/>
      </w:r>
      <w:r>
        <w:t xml:space="preserve">«Vurdering </w:t>
      </w:r>
      <w:r w:rsidR="005E1600">
        <w:t xml:space="preserve">– </w:t>
      </w:r>
      <w:r>
        <w:t>høringsuttalelser</w:t>
      </w:r>
      <w:r w:rsidR="005E1600">
        <w:t>…</w:t>
      </w:r>
      <w:r>
        <w:t>» datert 21.04.23.</w:t>
      </w:r>
    </w:p>
    <w:p w14:paraId="0AB81FB0" w14:textId="77777777" w:rsidR="00DD2D41" w:rsidRDefault="00BA7AEC" w:rsidP="00DD2D41">
      <w:pPr>
        <w:ind w:right="-142"/>
      </w:pPr>
      <w:r>
        <w:t>Statsforvalteren har pekt på virkninger av masseuttak i landskapet og problemstillinger omkring støy. Et slikt stor</w:t>
      </w:r>
      <w:r w:rsidR="00524140">
        <w:t>t</w:t>
      </w:r>
      <w:r>
        <w:t xml:space="preserve"> masseuttak vil gi et betydelig sår i landskapet</w:t>
      </w:r>
      <w:r w:rsidR="003C3EB7">
        <w:t xml:space="preserve"> som også vil vedvare i en relativt </w:t>
      </w:r>
      <w:r w:rsidR="003C3EB7">
        <w:lastRenderedPageBreak/>
        <w:t>lang</w:t>
      </w:r>
      <w:r>
        <w:t xml:space="preserve"> driftstid</w:t>
      </w:r>
      <w:r w:rsidR="003C3EB7">
        <w:t>. Med</w:t>
      </w:r>
      <w:r>
        <w:t xml:space="preserve"> tilrettelegging for revegetering på «paller» i bruddet og fortløpende revegetering i driftsperioden, vil dette avbøte en del av bruddets virkning </w:t>
      </w:r>
      <w:r w:rsidR="002346FB">
        <w:t>for</w:t>
      </w:r>
      <w:r>
        <w:t xml:space="preserve"> landskapet. </w:t>
      </w:r>
      <w:r>
        <w:br/>
        <w:t>I forhold til stø</w:t>
      </w:r>
      <w:r w:rsidR="005E1600">
        <w:t>y</w:t>
      </w:r>
      <w:r>
        <w:t>en er det utarbeidet en støyfaglig rapport hvor hovedkonklusjonen er at bruddet kan drives innenfor aktuelle støygrenser.</w:t>
      </w:r>
    </w:p>
    <w:p w14:paraId="54A44EC5" w14:textId="77777777" w:rsidR="00DD2D41" w:rsidRDefault="00BA7AEC" w:rsidP="00DD2D41">
      <w:pPr>
        <w:ind w:right="-142"/>
      </w:pPr>
      <w:r>
        <w:t xml:space="preserve">Direktoratet for mineralforvaltning </w:t>
      </w:r>
      <w:r w:rsidR="00DB4DED">
        <w:t>sin merknad er tatt til følge og h</w:t>
      </w:r>
      <w:r>
        <w:t xml:space="preserve">ar medført justeringer i planbestemmelsene. </w:t>
      </w:r>
    </w:p>
    <w:p w14:paraId="3E6EBF5F" w14:textId="77777777" w:rsidR="00DB4DED" w:rsidRDefault="00BA7AEC" w:rsidP="00DD2D41">
      <w:pPr>
        <w:ind w:right="-142"/>
      </w:pPr>
      <w:r>
        <w:t xml:space="preserve">Norges vassdrag- og energidirektorat sin </w:t>
      </w:r>
      <w:r>
        <w:rPr>
          <w:b/>
          <w:bCs/>
        </w:rPr>
        <w:t>innsigelse</w:t>
      </w:r>
      <w:r>
        <w:t xml:space="preserve"> er trukket etter tilleggshøring. Faglig merknad vedr. steinsprang fra farehensynområde H_310 er tatt hensyn til i reviderte rekkefølgebestemmelser slik at avbøtende tiltak skal være gjennomført før tiltak i dette området kan skje</w:t>
      </w:r>
      <w:r w:rsidR="003C3EB7">
        <w:t>, jfr. bestemmelsenes pkt. 5.2</w:t>
      </w:r>
      <w:r>
        <w:t>.</w:t>
      </w:r>
    </w:p>
    <w:p w14:paraId="39B07741" w14:textId="77777777" w:rsidR="00DD2D41" w:rsidRPr="00A17A63" w:rsidRDefault="00BA7AEC" w:rsidP="00DD2D41">
      <w:pPr>
        <w:ind w:right="-142"/>
        <w:rPr>
          <w:u w:val="single"/>
        </w:rPr>
      </w:pPr>
      <w:r>
        <w:br/>
      </w:r>
      <w:r w:rsidRPr="00A17A63">
        <w:rPr>
          <w:u w:val="single"/>
        </w:rPr>
        <w:t>Oppsummering.</w:t>
      </w:r>
    </w:p>
    <w:p w14:paraId="41DBC6FD" w14:textId="77777777" w:rsidR="00DD2D41" w:rsidRDefault="00BA7AEC" w:rsidP="00DD2D41">
      <w:pPr>
        <w:ind w:right="-142"/>
      </w:pPr>
      <w:r>
        <w:t>Med de justeringer som er gjort har en imøtekommet de merknader som er anført</w:t>
      </w:r>
      <w:r w:rsidR="003C3EB7">
        <w:t xml:space="preserve"> etter høring</w:t>
      </w:r>
      <w:r>
        <w:t xml:space="preserve">. Innsigelsen er trukket og </w:t>
      </w:r>
      <w:r w:rsidR="00DB4DED">
        <w:t xml:space="preserve">merknader er tatt til følge og innarbeidet i </w:t>
      </w:r>
      <w:r>
        <w:t>planforslaget.</w:t>
      </w:r>
    </w:p>
    <w:p w14:paraId="276DB19A" w14:textId="77777777" w:rsidR="00DD2D41" w:rsidRDefault="00BA7AEC" w:rsidP="00DD2D41">
      <w:pPr>
        <w:ind w:right="-142"/>
      </w:pPr>
      <w:r>
        <w:t>Etter kommunedirektørens vurdering er de landskapmessige konsekvenser</w:t>
      </w:r>
      <w:r w:rsidR="00BC155D">
        <w:t xml:space="preserve"> </w:t>
      </w:r>
      <w:r>
        <w:t>de</w:t>
      </w:r>
      <w:r w:rsidR="00524140">
        <w:t xml:space="preserve">n mest </w:t>
      </w:r>
      <w:r>
        <w:t xml:space="preserve">negative </w:t>
      </w:r>
      <w:r w:rsidR="00524140">
        <w:t xml:space="preserve">faktor </w:t>
      </w:r>
      <w:r>
        <w:t xml:space="preserve">ved et slikt </w:t>
      </w:r>
      <w:r w:rsidR="006B0CC2">
        <w:t>stort masseuttak</w:t>
      </w:r>
      <w:r w:rsidR="00524140">
        <w:t xml:space="preserve"> på ca. 57 daa</w:t>
      </w:r>
      <w:r w:rsidR="006B0CC2">
        <w:t xml:space="preserve">. At forventet driftsperiode </w:t>
      </w:r>
      <w:r w:rsidR="00F25AB0">
        <w:t xml:space="preserve">vil kunne vare </w:t>
      </w:r>
      <w:r w:rsidR="00524140">
        <w:t>i</w:t>
      </w:r>
      <w:r w:rsidR="00F25AB0">
        <w:t xml:space="preserve"> 30 år er også en faktor i forhold til dette</w:t>
      </w:r>
      <w:r w:rsidR="00034DBD">
        <w:t xml:space="preserve">. </w:t>
      </w:r>
      <w:r w:rsidR="00BC155D">
        <w:t>Dette vil spesielt gjelde driftsperiode</w:t>
      </w:r>
      <w:r w:rsidR="00703536">
        <w:t>n</w:t>
      </w:r>
      <w:r w:rsidR="00BC155D">
        <w:t xml:space="preserve"> og fram til ny vegetasjon igjen preger landskapet. </w:t>
      </w:r>
      <w:r w:rsidR="00034DBD">
        <w:t xml:space="preserve">Det er derfor viktig </w:t>
      </w:r>
      <w:r>
        <w:t>at driftsplaner i størst mulig grad innrettes slik at avbøtende tiltak og revegetering gjennomføres fortløpende så langt dette er mulig.</w:t>
      </w:r>
      <w:r w:rsidR="00DB4DED">
        <w:t xml:space="preserve"> Kommunen forventer at det tas hensyn til dette i driftsplaner og driftskonsesjon.</w:t>
      </w:r>
    </w:p>
    <w:p w14:paraId="364324AE" w14:textId="77777777" w:rsidR="005D6329" w:rsidRDefault="00BA7AEC" w:rsidP="00DD2D41">
      <w:pPr>
        <w:ind w:right="-142"/>
      </w:pPr>
      <w:r>
        <w:t xml:space="preserve">Et større masseuttak </w:t>
      </w:r>
      <w:r w:rsidR="00524140">
        <w:t xml:space="preserve">gir fordeler ved et brudd som kan drives med </w:t>
      </w:r>
      <w:r>
        <w:t xml:space="preserve">fastlagte </w:t>
      </w:r>
      <w:r w:rsidR="00524140">
        <w:t xml:space="preserve">rammer </w:t>
      </w:r>
      <w:r>
        <w:t xml:space="preserve">og en drift </w:t>
      </w:r>
      <w:r w:rsidR="00E63A29">
        <w:t xml:space="preserve">hvor det kreves </w:t>
      </w:r>
      <w:r>
        <w:t xml:space="preserve">revegetering og tilbakeføring til </w:t>
      </w:r>
      <w:r w:rsidR="00E63A29">
        <w:t xml:space="preserve">landbruk og </w:t>
      </w:r>
      <w:r>
        <w:t>natur</w:t>
      </w:r>
      <w:r w:rsidR="00BC155D">
        <w:t xml:space="preserve"> (LNFR)</w:t>
      </w:r>
      <w:r>
        <w:t xml:space="preserve">. </w:t>
      </w:r>
      <w:r w:rsidR="00E63A29">
        <w:br/>
      </w:r>
      <w:r w:rsidR="00BC155D">
        <w:t xml:space="preserve">Et funksjonelt masseuttak med stabil leveranse vil </w:t>
      </w:r>
      <w:r>
        <w:t xml:space="preserve">forhåpentligvis begrense punktvise inngrep andre steder. </w:t>
      </w:r>
    </w:p>
    <w:p w14:paraId="48E308D8" w14:textId="77777777" w:rsidR="00DD2D41" w:rsidRPr="00733A17" w:rsidRDefault="00BA7AEC" w:rsidP="00DD2D41">
      <w:pPr>
        <w:ind w:right="-142"/>
      </w:pPr>
      <w:r>
        <w:t xml:space="preserve">De endringer som er gjort etter offentlig ettersyn er etter kommunedirektørens vurdering ikke av en slik art eller omfang at dette utløser ny høring. Saken legges derfor fram for </w:t>
      </w:r>
      <w:r w:rsidR="000F6A8C">
        <w:t>planutvalget o</w:t>
      </w:r>
      <w:r>
        <w:t>g kommunestyre til sluttbehandling.</w:t>
      </w:r>
    </w:p>
    <w:p w14:paraId="48D713F2" w14:textId="77777777" w:rsidR="0088582F" w:rsidRPr="00CA7959" w:rsidRDefault="0088582F" w:rsidP="00DA6852">
      <w:pPr>
        <w:pStyle w:val="Overskrift2"/>
        <w:rPr>
          <w:b w:val="0"/>
          <w:bCs w:val="0"/>
        </w:rPr>
      </w:pPr>
    </w:p>
    <w:p w14:paraId="7E24FDB5" w14:textId="77777777" w:rsidR="00733A17" w:rsidRPr="00733A17" w:rsidRDefault="00733A17" w:rsidP="00733A17"/>
    <w:p w14:paraId="6C25FDF0" w14:textId="77777777" w:rsidR="00D418A8" w:rsidRPr="00733A17" w:rsidRDefault="00BA7AEC" w:rsidP="00733A17">
      <w:pPr>
        <w:spacing w:after="0"/>
        <w:rPr>
          <w:rFonts w:cs="Arial"/>
          <w:b/>
          <w:bCs/>
          <w:iCs/>
          <w:szCs w:val="28"/>
        </w:rPr>
      </w:pPr>
      <w:r>
        <w:fldChar w:fldCharType="begin"/>
      </w:r>
      <w:r>
        <w:instrText xml:space="preserve">  </w:instrText>
      </w:r>
      <w:r>
        <w:fldChar w:fldCharType="end"/>
      </w:r>
    </w:p>
    <w:sectPr w:rsidR="00D418A8" w:rsidRPr="00733A17" w:rsidSect="00524140">
      <w:headerReference w:type="first" r:id="rId12"/>
      <w:pgSz w:w="11906" w:h="16838" w:code="9"/>
      <w:pgMar w:top="1276" w:right="1133" w:bottom="1417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9A71" w14:textId="77777777" w:rsidR="000D75DA" w:rsidRDefault="00BA7AEC" w:rsidP="00D13C46">
      <w:r>
        <w:separator/>
      </w:r>
    </w:p>
    <w:p w14:paraId="6A18CAB3" w14:textId="77777777" w:rsidR="000D75DA" w:rsidRDefault="000D75DA" w:rsidP="00D13C46"/>
    <w:p w14:paraId="5425135C" w14:textId="77777777" w:rsidR="000D75DA" w:rsidRDefault="000D75DA" w:rsidP="00D13C46"/>
    <w:p w14:paraId="2D64A490" w14:textId="77777777" w:rsidR="000D75DA" w:rsidRDefault="000D75DA" w:rsidP="00D13C46"/>
    <w:p w14:paraId="0909F09F" w14:textId="77777777" w:rsidR="000D75DA" w:rsidRDefault="000D75DA" w:rsidP="00D13C46"/>
    <w:p w14:paraId="5D60C21A" w14:textId="77777777" w:rsidR="000D75DA" w:rsidRDefault="000D75DA" w:rsidP="00D13C46"/>
    <w:p w14:paraId="64033E14" w14:textId="77777777" w:rsidR="000D75DA" w:rsidRDefault="000D75DA" w:rsidP="00D13C46"/>
    <w:p w14:paraId="6B716EEA" w14:textId="77777777" w:rsidR="000D75DA" w:rsidRDefault="000D75DA" w:rsidP="00D13C46"/>
  </w:endnote>
  <w:endnote w:type="continuationSeparator" w:id="0">
    <w:p w14:paraId="453D6F14" w14:textId="77777777" w:rsidR="000D75DA" w:rsidRDefault="00BA7AEC" w:rsidP="00D13C46">
      <w:r>
        <w:continuationSeparator/>
      </w:r>
    </w:p>
    <w:p w14:paraId="60DB29DB" w14:textId="77777777" w:rsidR="000D75DA" w:rsidRDefault="000D75DA" w:rsidP="00D13C46"/>
    <w:p w14:paraId="52E19D5C" w14:textId="77777777" w:rsidR="000D75DA" w:rsidRDefault="000D75DA" w:rsidP="00D13C46"/>
    <w:p w14:paraId="345EB45B" w14:textId="77777777" w:rsidR="000D75DA" w:rsidRDefault="000D75DA" w:rsidP="00D13C46"/>
    <w:p w14:paraId="3039CA0C" w14:textId="77777777" w:rsidR="000D75DA" w:rsidRDefault="000D75DA" w:rsidP="00D13C46"/>
    <w:p w14:paraId="3408F0AC" w14:textId="77777777" w:rsidR="000D75DA" w:rsidRDefault="000D75DA" w:rsidP="00D13C46"/>
    <w:p w14:paraId="5605C6CE" w14:textId="77777777" w:rsidR="000D75DA" w:rsidRDefault="000D75DA" w:rsidP="00D13C46"/>
    <w:p w14:paraId="36A8C240" w14:textId="77777777" w:rsidR="000D75DA" w:rsidRDefault="000D75DA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F083" w14:textId="77777777" w:rsidR="000D75DA" w:rsidRDefault="00BA7AEC" w:rsidP="00D13C46">
      <w:r>
        <w:separator/>
      </w:r>
    </w:p>
    <w:p w14:paraId="2745D085" w14:textId="77777777" w:rsidR="000D75DA" w:rsidRDefault="000D75DA" w:rsidP="00D13C46"/>
    <w:p w14:paraId="3C5D4C9E" w14:textId="77777777" w:rsidR="000D75DA" w:rsidRDefault="000D75DA" w:rsidP="00D13C46"/>
    <w:p w14:paraId="62511C1E" w14:textId="77777777" w:rsidR="000D75DA" w:rsidRDefault="000D75DA" w:rsidP="00D13C46"/>
    <w:p w14:paraId="5CB0991E" w14:textId="77777777" w:rsidR="000D75DA" w:rsidRDefault="000D75DA" w:rsidP="00D13C46"/>
    <w:p w14:paraId="7DEEF527" w14:textId="77777777" w:rsidR="000D75DA" w:rsidRDefault="000D75DA" w:rsidP="00D13C46"/>
    <w:p w14:paraId="533FD087" w14:textId="77777777" w:rsidR="000D75DA" w:rsidRDefault="000D75DA" w:rsidP="00D13C46"/>
    <w:p w14:paraId="522FB285" w14:textId="77777777" w:rsidR="000D75DA" w:rsidRDefault="000D75DA" w:rsidP="00D13C46"/>
  </w:footnote>
  <w:footnote w:type="continuationSeparator" w:id="0">
    <w:p w14:paraId="5EA5246B" w14:textId="77777777" w:rsidR="000D75DA" w:rsidRDefault="00BA7AEC" w:rsidP="00D13C46">
      <w:r>
        <w:continuationSeparator/>
      </w:r>
    </w:p>
    <w:p w14:paraId="007308EC" w14:textId="77777777" w:rsidR="000D75DA" w:rsidRDefault="000D75DA" w:rsidP="00D13C46"/>
    <w:p w14:paraId="5829F65D" w14:textId="77777777" w:rsidR="000D75DA" w:rsidRDefault="000D75DA" w:rsidP="00D13C46"/>
    <w:p w14:paraId="5CDD2334" w14:textId="77777777" w:rsidR="000D75DA" w:rsidRDefault="000D75DA" w:rsidP="00D13C46"/>
    <w:p w14:paraId="2A9C69E5" w14:textId="77777777" w:rsidR="000D75DA" w:rsidRDefault="000D75DA" w:rsidP="00D13C46"/>
    <w:p w14:paraId="4D972E2A" w14:textId="77777777" w:rsidR="000D75DA" w:rsidRDefault="000D75DA" w:rsidP="00D13C46"/>
    <w:p w14:paraId="3BD2CF09" w14:textId="77777777" w:rsidR="000D75DA" w:rsidRDefault="000D75DA" w:rsidP="00D13C46"/>
    <w:p w14:paraId="215D5494" w14:textId="77777777" w:rsidR="000D75DA" w:rsidRDefault="000D75DA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0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4"/>
      <w:gridCol w:w="7810"/>
    </w:tblGrid>
    <w:tr w:rsidR="009463D4" w14:paraId="1EED9906" w14:textId="77777777" w:rsidTr="00091421">
      <w:trPr>
        <w:trHeight w:val="860"/>
      </w:trPr>
      <w:tc>
        <w:tcPr>
          <w:tcW w:w="1274" w:type="dxa"/>
        </w:tcPr>
        <w:p w14:paraId="04985B79" w14:textId="77777777" w:rsidR="00D106A5" w:rsidRDefault="00BA7AEC" w:rsidP="00D106A5">
          <w:pPr>
            <w:pStyle w:val="Topptekst"/>
          </w:pPr>
          <w:r w:rsidRPr="003C7F3B">
            <w:rPr>
              <w:noProof/>
              <w:sz w:val="36"/>
              <w:szCs w:val="36"/>
            </w:rPr>
            <w:drawing>
              <wp:inline distT="0" distB="0" distL="0" distR="0" wp14:anchorId="44AC8140" wp14:editId="28E74F5D">
                <wp:extent cx="635000" cy="770255"/>
                <wp:effectExtent l="0" t="0" r="0" b="0"/>
                <wp:docPr id="970131544" name="Bilde 970131544" descr="H:\Mellomlagring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0131544" name="Picture 12" descr="H:\Mellomlagring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77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</w:tcPr>
        <w:p w14:paraId="63F9EF99" w14:textId="77777777" w:rsidR="00D106A5" w:rsidRPr="00D96398" w:rsidRDefault="00BA7AEC" w:rsidP="00D106A5">
          <w:pPr>
            <w:pStyle w:val="Topptekst"/>
            <w:spacing w:line="276" w:lineRule="auto"/>
            <w:rPr>
              <w:b/>
              <w:bCs/>
              <w:sz w:val="36"/>
              <w:szCs w:val="36"/>
            </w:rPr>
          </w:pPr>
          <w:bookmarkStart w:id="19" w:name="ORGNAVN"/>
          <w:r w:rsidRPr="00D96398">
            <w:rPr>
              <w:b/>
              <w:bCs/>
              <w:sz w:val="36"/>
              <w:szCs w:val="36"/>
            </w:rPr>
            <w:t>Brønnøy kommune</w:t>
          </w:r>
          <w:bookmarkEnd w:id="19"/>
        </w:p>
        <w:p w14:paraId="0669ABB9" w14:textId="77777777" w:rsidR="00D106A5" w:rsidRPr="00D96398" w:rsidRDefault="00BA7AEC" w:rsidP="00D106A5">
          <w:pPr>
            <w:pStyle w:val="Topptekst"/>
            <w:rPr>
              <w:b/>
              <w:bCs/>
              <w:sz w:val="28"/>
              <w:szCs w:val="28"/>
            </w:rPr>
          </w:pPr>
          <w:bookmarkStart w:id="20" w:name="admBetegnelse"/>
          <w:r w:rsidRPr="00D96398">
            <w:rPr>
              <w:b/>
              <w:bCs/>
              <w:sz w:val="28"/>
              <w:szCs w:val="28"/>
            </w:rPr>
            <w:t>Byggesak og oppmåling</w:t>
          </w:r>
          <w:bookmarkEnd w:id="20"/>
        </w:p>
      </w:tc>
    </w:tr>
  </w:tbl>
  <w:p w14:paraId="1C14333B" w14:textId="77777777" w:rsidR="002D10E8" w:rsidRPr="00D106A5" w:rsidRDefault="002D10E8" w:rsidP="0009142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68A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DD476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F"/>
    <w:multiLevelType w:val="singleLevel"/>
    <w:tmpl w:val="36E0A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B00A3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7D0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F64F9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2ED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72B02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F277FC"/>
    <w:multiLevelType w:val="hybridMultilevel"/>
    <w:tmpl w:val="AA2E2AD4"/>
    <w:lvl w:ilvl="0" w:tplc="C500080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A8AF70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B4A3F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E2A7D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274BF0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25EEC1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F06B90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7B815E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06E90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F019A8"/>
    <w:multiLevelType w:val="hybridMultilevel"/>
    <w:tmpl w:val="D57475A4"/>
    <w:lvl w:ilvl="0" w:tplc="62C0ED82">
      <w:start w:val="1"/>
      <w:numFmt w:val="decimal"/>
      <w:lvlText w:val="%1."/>
      <w:lvlJc w:val="left"/>
      <w:pPr>
        <w:ind w:left="720" w:hanging="360"/>
      </w:pPr>
    </w:lvl>
    <w:lvl w:ilvl="1" w:tplc="39C0DC1A" w:tentative="1">
      <w:start w:val="1"/>
      <w:numFmt w:val="lowerLetter"/>
      <w:lvlText w:val="%2."/>
      <w:lvlJc w:val="left"/>
      <w:pPr>
        <w:ind w:left="1440" w:hanging="360"/>
      </w:pPr>
    </w:lvl>
    <w:lvl w:ilvl="2" w:tplc="8D686420" w:tentative="1">
      <w:start w:val="1"/>
      <w:numFmt w:val="lowerRoman"/>
      <w:lvlText w:val="%3."/>
      <w:lvlJc w:val="right"/>
      <w:pPr>
        <w:ind w:left="2160" w:hanging="180"/>
      </w:pPr>
    </w:lvl>
    <w:lvl w:ilvl="3" w:tplc="86F04674" w:tentative="1">
      <w:start w:val="1"/>
      <w:numFmt w:val="decimal"/>
      <w:lvlText w:val="%4."/>
      <w:lvlJc w:val="left"/>
      <w:pPr>
        <w:ind w:left="2880" w:hanging="360"/>
      </w:pPr>
    </w:lvl>
    <w:lvl w:ilvl="4" w:tplc="1BECA7AC" w:tentative="1">
      <w:start w:val="1"/>
      <w:numFmt w:val="lowerLetter"/>
      <w:lvlText w:val="%5."/>
      <w:lvlJc w:val="left"/>
      <w:pPr>
        <w:ind w:left="3600" w:hanging="360"/>
      </w:pPr>
    </w:lvl>
    <w:lvl w:ilvl="5" w:tplc="0B7E467C" w:tentative="1">
      <w:start w:val="1"/>
      <w:numFmt w:val="lowerRoman"/>
      <w:lvlText w:val="%6."/>
      <w:lvlJc w:val="right"/>
      <w:pPr>
        <w:ind w:left="4320" w:hanging="180"/>
      </w:pPr>
    </w:lvl>
    <w:lvl w:ilvl="6" w:tplc="90800F4E" w:tentative="1">
      <w:start w:val="1"/>
      <w:numFmt w:val="decimal"/>
      <w:lvlText w:val="%7."/>
      <w:lvlJc w:val="left"/>
      <w:pPr>
        <w:ind w:left="5040" w:hanging="360"/>
      </w:pPr>
    </w:lvl>
    <w:lvl w:ilvl="7" w:tplc="86FC0A0A" w:tentative="1">
      <w:start w:val="1"/>
      <w:numFmt w:val="lowerLetter"/>
      <w:lvlText w:val="%8."/>
      <w:lvlJc w:val="left"/>
      <w:pPr>
        <w:ind w:left="5760" w:hanging="360"/>
      </w:pPr>
    </w:lvl>
    <w:lvl w:ilvl="8" w:tplc="A24827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377A1"/>
    <w:multiLevelType w:val="hybridMultilevel"/>
    <w:tmpl w:val="BA32B58C"/>
    <w:lvl w:ilvl="0" w:tplc="E5B4C2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E2CAF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88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81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032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F2D3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4A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60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1A1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63001"/>
    <w:multiLevelType w:val="hybridMultilevel"/>
    <w:tmpl w:val="6666D306"/>
    <w:lvl w:ilvl="0" w:tplc="5A2820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89A9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F881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45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00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6474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88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500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C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D5432"/>
    <w:multiLevelType w:val="hybridMultilevel"/>
    <w:tmpl w:val="82BCC9FE"/>
    <w:lvl w:ilvl="0" w:tplc="575CD4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0CF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0237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F87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6F3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E3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A6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BCC3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F2F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16206"/>
    <w:multiLevelType w:val="hybridMultilevel"/>
    <w:tmpl w:val="902E9F72"/>
    <w:lvl w:ilvl="0" w:tplc="57E2E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5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26C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2D0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C4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E04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C2D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E205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1A6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D315D"/>
    <w:multiLevelType w:val="hybridMultilevel"/>
    <w:tmpl w:val="FE662C62"/>
    <w:lvl w:ilvl="0" w:tplc="05B8CFD2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61440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26D9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64A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8AB2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90E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84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1650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F42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334643">
    <w:abstractNumId w:val="12"/>
  </w:num>
  <w:num w:numId="2" w16cid:durableId="744030869">
    <w:abstractNumId w:val="11"/>
  </w:num>
  <w:num w:numId="3" w16cid:durableId="1658342788">
    <w:abstractNumId w:val="13"/>
  </w:num>
  <w:num w:numId="4" w16cid:durableId="1974827821">
    <w:abstractNumId w:val="15"/>
  </w:num>
  <w:num w:numId="5" w16cid:durableId="1139617269">
    <w:abstractNumId w:val="6"/>
  </w:num>
  <w:num w:numId="6" w16cid:durableId="97874997">
    <w:abstractNumId w:val="2"/>
  </w:num>
  <w:num w:numId="7" w16cid:durableId="46344900">
    <w:abstractNumId w:val="1"/>
  </w:num>
  <w:num w:numId="8" w16cid:durableId="139855796">
    <w:abstractNumId w:val="0"/>
  </w:num>
  <w:num w:numId="9" w16cid:durableId="1826046576">
    <w:abstractNumId w:val="7"/>
  </w:num>
  <w:num w:numId="10" w16cid:durableId="2061513269">
    <w:abstractNumId w:val="5"/>
  </w:num>
  <w:num w:numId="11" w16cid:durableId="310408119">
    <w:abstractNumId w:val="4"/>
  </w:num>
  <w:num w:numId="12" w16cid:durableId="258758446">
    <w:abstractNumId w:val="3"/>
  </w:num>
  <w:num w:numId="13" w16cid:durableId="1415936730">
    <w:abstractNumId w:val="8"/>
  </w:num>
  <w:num w:numId="14" w16cid:durableId="1739983660">
    <w:abstractNumId w:val="14"/>
  </w:num>
  <w:num w:numId="15" w16cid:durableId="885332070">
    <w:abstractNumId w:val="9"/>
  </w:num>
  <w:num w:numId="16" w16cid:durableId="1028483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62"/>
    <w:rsid w:val="0000127F"/>
    <w:rsid w:val="000040C9"/>
    <w:rsid w:val="00022F38"/>
    <w:rsid w:val="000244E9"/>
    <w:rsid w:val="00034DBD"/>
    <w:rsid w:val="00054C49"/>
    <w:rsid w:val="000566AF"/>
    <w:rsid w:val="0007438D"/>
    <w:rsid w:val="00085209"/>
    <w:rsid w:val="00091421"/>
    <w:rsid w:val="000A02B0"/>
    <w:rsid w:val="000B24D5"/>
    <w:rsid w:val="000C0290"/>
    <w:rsid w:val="000C07D6"/>
    <w:rsid w:val="000D0FDD"/>
    <w:rsid w:val="000D45FE"/>
    <w:rsid w:val="000D75DA"/>
    <w:rsid w:val="000F393F"/>
    <w:rsid w:val="000F4CED"/>
    <w:rsid w:val="000F6A8C"/>
    <w:rsid w:val="00104A04"/>
    <w:rsid w:val="00116A05"/>
    <w:rsid w:val="00116BA0"/>
    <w:rsid w:val="0011756F"/>
    <w:rsid w:val="001257CA"/>
    <w:rsid w:val="00126EF6"/>
    <w:rsid w:val="00137862"/>
    <w:rsid w:val="00141774"/>
    <w:rsid w:val="00143553"/>
    <w:rsid w:val="001570C8"/>
    <w:rsid w:val="001622CC"/>
    <w:rsid w:val="00167CE2"/>
    <w:rsid w:val="00170363"/>
    <w:rsid w:val="00170A33"/>
    <w:rsid w:val="0017268C"/>
    <w:rsid w:val="00173FF3"/>
    <w:rsid w:val="001808B3"/>
    <w:rsid w:val="00195EC8"/>
    <w:rsid w:val="001A492B"/>
    <w:rsid w:val="001B1DA1"/>
    <w:rsid w:val="001B2851"/>
    <w:rsid w:val="001B5B1D"/>
    <w:rsid w:val="001D0C16"/>
    <w:rsid w:val="001D4A71"/>
    <w:rsid w:val="001E5476"/>
    <w:rsid w:val="001F15CB"/>
    <w:rsid w:val="001F1B9D"/>
    <w:rsid w:val="00225DF0"/>
    <w:rsid w:val="0023040F"/>
    <w:rsid w:val="002305D0"/>
    <w:rsid w:val="002346FB"/>
    <w:rsid w:val="002358F8"/>
    <w:rsid w:val="0024769D"/>
    <w:rsid w:val="00250B12"/>
    <w:rsid w:val="0025234C"/>
    <w:rsid w:val="00255EBF"/>
    <w:rsid w:val="002562A1"/>
    <w:rsid w:val="00257A25"/>
    <w:rsid w:val="002720A7"/>
    <w:rsid w:val="00286B06"/>
    <w:rsid w:val="0029132D"/>
    <w:rsid w:val="0029210E"/>
    <w:rsid w:val="002A0765"/>
    <w:rsid w:val="002A4097"/>
    <w:rsid w:val="002C0D3C"/>
    <w:rsid w:val="002C6652"/>
    <w:rsid w:val="002C7C91"/>
    <w:rsid w:val="002D10E8"/>
    <w:rsid w:val="002E426B"/>
    <w:rsid w:val="002F1C98"/>
    <w:rsid w:val="002F77C9"/>
    <w:rsid w:val="0030373B"/>
    <w:rsid w:val="00304F59"/>
    <w:rsid w:val="00305602"/>
    <w:rsid w:val="00305AD9"/>
    <w:rsid w:val="00311BFF"/>
    <w:rsid w:val="003224A7"/>
    <w:rsid w:val="003369B8"/>
    <w:rsid w:val="0034090F"/>
    <w:rsid w:val="003510EC"/>
    <w:rsid w:val="0035543E"/>
    <w:rsid w:val="00364770"/>
    <w:rsid w:val="00367769"/>
    <w:rsid w:val="003701C6"/>
    <w:rsid w:val="003913C4"/>
    <w:rsid w:val="003927D9"/>
    <w:rsid w:val="003A0590"/>
    <w:rsid w:val="003A1B0B"/>
    <w:rsid w:val="003A23AB"/>
    <w:rsid w:val="003C3EB7"/>
    <w:rsid w:val="003D0277"/>
    <w:rsid w:val="003D1E56"/>
    <w:rsid w:val="003E5245"/>
    <w:rsid w:val="003F5583"/>
    <w:rsid w:val="003F5DD6"/>
    <w:rsid w:val="003F750D"/>
    <w:rsid w:val="00406EC9"/>
    <w:rsid w:val="00407363"/>
    <w:rsid w:val="00414A86"/>
    <w:rsid w:val="00420851"/>
    <w:rsid w:val="00424963"/>
    <w:rsid w:val="00425654"/>
    <w:rsid w:val="00430408"/>
    <w:rsid w:val="004345A7"/>
    <w:rsid w:val="004409EE"/>
    <w:rsid w:val="004413BF"/>
    <w:rsid w:val="00450A78"/>
    <w:rsid w:val="00454457"/>
    <w:rsid w:val="0046377C"/>
    <w:rsid w:val="004661EA"/>
    <w:rsid w:val="00477343"/>
    <w:rsid w:val="00477F51"/>
    <w:rsid w:val="00485210"/>
    <w:rsid w:val="004954C5"/>
    <w:rsid w:val="004B085C"/>
    <w:rsid w:val="004B1133"/>
    <w:rsid w:val="004B6861"/>
    <w:rsid w:val="004C414E"/>
    <w:rsid w:val="004D427A"/>
    <w:rsid w:val="004E1BCF"/>
    <w:rsid w:val="004E22A4"/>
    <w:rsid w:val="004E75DF"/>
    <w:rsid w:val="00507BA5"/>
    <w:rsid w:val="00511D8D"/>
    <w:rsid w:val="00514328"/>
    <w:rsid w:val="00516C07"/>
    <w:rsid w:val="00523266"/>
    <w:rsid w:val="00524140"/>
    <w:rsid w:val="00534D49"/>
    <w:rsid w:val="00534E22"/>
    <w:rsid w:val="00540663"/>
    <w:rsid w:val="00540A73"/>
    <w:rsid w:val="00555AEB"/>
    <w:rsid w:val="00565642"/>
    <w:rsid w:val="00566C18"/>
    <w:rsid w:val="0057189C"/>
    <w:rsid w:val="00573135"/>
    <w:rsid w:val="0059292C"/>
    <w:rsid w:val="00597508"/>
    <w:rsid w:val="00597EF4"/>
    <w:rsid w:val="005B1F67"/>
    <w:rsid w:val="005B3831"/>
    <w:rsid w:val="005B771F"/>
    <w:rsid w:val="005D03B4"/>
    <w:rsid w:val="005D4510"/>
    <w:rsid w:val="005D59DA"/>
    <w:rsid w:val="005D6329"/>
    <w:rsid w:val="005D76A3"/>
    <w:rsid w:val="005E1600"/>
    <w:rsid w:val="005E48A9"/>
    <w:rsid w:val="005F3C82"/>
    <w:rsid w:val="00616204"/>
    <w:rsid w:val="0062652B"/>
    <w:rsid w:val="00641126"/>
    <w:rsid w:val="00664092"/>
    <w:rsid w:val="00664954"/>
    <w:rsid w:val="00671554"/>
    <w:rsid w:val="00676688"/>
    <w:rsid w:val="00676C43"/>
    <w:rsid w:val="006863C5"/>
    <w:rsid w:val="006905C2"/>
    <w:rsid w:val="006B0CC2"/>
    <w:rsid w:val="006C1375"/>
    <w:rsid w:val="006C7826"/>
    <w:rsid w:val="006D0506"/>
    <w:rsid w:val="006F6F29"/>
    <w:rsid w:val="00703536"/>
    <w:rsid w:val="00710091"/>
    <w:rsid w:val="0071353E"/>
    <w:rsid w:val="00714946"/>
    <w:rsid w:val="007205B0"/>
    <w:rsid w:val="007229E9"/>
    <w:rsid w:val="00733A17"/>
    <w:rsid w:val="00745433"/>
    <w:rsid w:val="00755444"/>
    <w:rsid w:val="00756468"/>
    <w:rsid w:val="007602C2"/>
    <w:rsid w:val="00760F53"/>
    <w:rsid w:val="0076101F"/>
    <w:rsid w:val="00765ABC"/>
    <w:rsid w:val="007677C3"/>
    <w:rsid w:val="00787961"/>
    <w:rsid w:val="0079179C"/>
    <w:rsid w:val="00793995"/>
    <w:rsid w:val="007976A9"/>
    <w:rsid w:val="007A5372"/>
    <w:rsid w:val="007A5D10"/>
    <w:rsid w:val="007C39F7"/>
    <w:rsid w:val="007C5FBE"/>
    <w:rsid w:val="007C63E7"/>
    <w:rsid w:val="007D0E3B"/>
    <w:rsid w:val="007D23EB"/>
    <w:rsid w:val="007E46BA"/>
    <w:rsid w:val="007E4772"/>
    <w:rsid w:val="007F0662"/>
    <w:rsid w:val="007F715F"/>
    <w:rsid w:val="00822C12"/>
    <w:rsid w:val="00825D0D"/>
    <w:rsid w:val="00827A8F"/>
    <w:rsid w:val="00846D4B"/>
    <w:rsid w:val="00847D75"/>
    <w:rsid w:val="00854646"/>
    <w:rsid w:val="0086014D"/>
    <w:rsid w:val="00860321"/>
    <w:rsid w:val="008659A7"/>
    <w:rsid w:val="00866FE3"/>
    <w:rsid w:val="00872A1E"/>
    <w:rsid w:val="008777D8"/>
    <w:rsid w:val="00880D0E"/>
    <w:rsid w:val="0088582F"/>
    <w:rsid w:val="00886A37"/>
    <w:rsid w:val="00894CC1"/>
    <w:rsid w:val="0089688C"/>
    <w:rsid w:val="008A06D2"/>
    <w:rsid w:val="008A7C31"/>
    <w:rsid w:val="008B0195"/>
    <w:rsid w:val="008C07CA"/>
    <w:rsid w:val="008C1EE5"/>
    <w:rsid w:val="008F0F1A"/>
    <w:rsid w:val="00902653"/>
    <w:rsid w:val="00907F3C"/>
    <w:rsid w:val="00921162"/>
    <w:rsid w:val="00926A17"/>
    <w:rsid w:val="009303F5"/>
    <w:rsid w:val="00936B86"/>
    <w:rsid w:val="00940BB0"/>
    <w:rsid w:val="00943B64"/>
    <w:rsid w:val="009463D4"/>
    <w:rsid w:val="009508E4"/>
    <w:rsid w:val="009522C5"/>
    <w:rsid w:val="00956C6E"/>
    <w:rsid w:val="00961E95"/>
    <w:rsid w:val="0096361C"/>
    <w:rsid w:val="00964EC1"/>
    <w:rsid w:val="0096789F"/>
    <w:rsid w:val="00970496"/>
    <w:rsid w:val="00985920"/>
    <w:rsid w:val="009A6007"/>
    <w:rsid w:val="009B1572"/>
    <w:rsid w:val="009B28F2"/>
    <w:rsid w:val="009C6FA0"/>
    <w:rsid w:val="009E0757"/>
    <w:rsid w:val="009F1D1D"/>
    <w:rsid w:val="00A02DF6"/>
    <w:rsid w:val="00A059D2"/>
    <w:rsid w:val="00A10FA2"/>
    <w:rsid w:val="00A15CB7"/>
    <w:rsid w:val="00A17A63"/>
    <w:rsid w:val="00A217B4"/>
    <w:rsid w:val="00A266C6"/>
    <w:rsid w:val="00A3213E"/>
    <w:rsid w:val="00A4280D"/>
    <w:rsid w:val="00A46A0C"/>
    <w:rsid w:val="00A623CF"/>
    <w:rsid w:val="00A670FC"/>
    <w:rsid w:val="00A831F2"/>
    <w:rsid w:val="00AA5B1D"/>
    <w:rsid w:val="00AB5B41"/>
    <w:rsid w:val="00AC29DA"/>
    <w:rsid w:val="00AD11D4"/>
    <w:rsid w:val="00AD133A"/>
    <w:rsid w:val="00AD1F3A"/>
    <w:rsid w:val="00AE59F9"/>
    <w:rsid w:val="00AF4864"/>
    <w:rsid w:val="00B03841"/>
    <w:rsid w:val="00B17ED4"/>
    <w:rsid w:val="00B37A60"/>
    <w:rsid w:val="00B40816"/>
    <w:rsid w:val="00B41859"/>
    <w:rsid w:val="00B45525"/>
    <w:rsid w:val="00B50710"/>
    <w:rsid w:val="00B56DB6"/>
    <w:rsid w:val="00B63B67"/>
    <w:rsid w:val="00B72411"/>
    <w:rsid w:val="00BA7AEC"/>
    <w:rsid w:val="00BB0543"/>
    <w:rsid w:val="00BB6554"/>
    <w:rsid w:val="00BC155D"/>
    <w:rsid w:val="00BC255D"/>
    <w:rsid w:val="00BE7A22"/>
    <w:rsid w:val="00BF0F75"/>
    <w:rsid w:val="00C05E93"/>
    <w:rsid w:val="00C11E8E"/>
    <w:rsid w:val="00C12428"/>
    <w:rsid w:val="00C12AF2"/>
    <w:rsid w:val="00C1529F"/>
    <w:rsid w:val="00C23953"/>
    <w:rsid w:val="00C245F1"/>
    <w:rsid w:val="00C24AC5"/>
    <w:rsid w:val="00C3188C"/>
    <w:rsid w:val="00C431E4"/>
    <w:rsid w:val="00C45570"/>
    <w:rsid w:val="00C52557"/>
    <w:rsid w:val="00C64706"/>
    <w:rsid w:val="00C87F9A"/>
    <w:rsid w:val="00C90FD9"/>
    <w:rsid w:val="00C97236"/>
    <w:rsid w:val="00C974A6"/>
    <w:rsid w:val="00CA7959"/>
    <w:rsid w:val="00CB6098"/>
    <w:rsid w:val="00CB73D9"/>
    <w:rsid w:val="00CC49D0"/>
    <w:rsid w:val="00CC6ECF"/>
    <w:rsid w:val="00CD51EA"/>
    <w:rsid w:val="00CD7BF7"/>
    <w:rsid w:val="00CE140C"/>
    <w:rsid w:val="00CE414A"/>
    <w:rsid w:val="00CE70E6"/>
    <w:rsid w:val="00D03F82"/>
    <w:rsid w:val="00D06396"/>
    <w:rsid w:val="00D0780D"/>
    <w:rsid w:val="00D106A5"/>
    <w:rsid w:val="00D113E5"/>
    <w:rsid w:val="00D13C46"/>
    <w:rsid w:val="00D418A8"/>
    <w:rsid w:val="00D41DED"/>
    <w:rsid w:val="00D44A28"/>
    <w:rsid w:val="00D46DEF"/>
    <w:rsid w:val="00D47220"/>
    <w:rsid w:val="00D52C2E"/>
    <w:rsid w:val="00D62A4A"/>
    <w:rsid w:val="00D754D2"/>
    <w:rsid w:val="00D76DAA"/>
    <w:rsid w:val="00D80168"/>
    <w:rsid w:val="00D909AE"/>
    <w:rsid w:val="00D90D9B"/>
    <w:rsid w:val="00D91E88"/>
    <w:rsid w:val="00D94038"/>
    <w:rsid w:val="00D96398"/>
    <w:rsid w:val="00DA3776"/>
    <w:rsid w:val="00DA6852"/>
    <w:rsid w:val="00DB2644"/>
    <w:rsid w:val="00DB4DED"/>
    <w:rsid w:val="00DD2D41"/>
    <w:rsid w:val="00DD3C1D"/>
    <w:rsid w:val="00DE0A91"/>
    <w:rsid w:val="00DE25E4"/>
    <w:rsid w:val="00DE6F47"/>
    <w:rsid w:val="00DF7CB9"/>
    <w:rsid w:val="00E26A45"/>
    <w:rsid w:val="00E35338"/>
    <w:rsid w:val="00E47299"/>
    <w:rsid w:val="00E60191"/>
    <w:rsid w:val="00E63A29"/>
    <w:rsid w:val="00E65FF6"/>
    <w:rsid w:val="00E77939"/>
    <w:rsid w:val="00E86CEB"/>
    <w:rsid w:val="00E87647"/>
    <w:rsid w:val="00E96CC5"/>
    <w:rsid w:val="00EA0643"/>
    <w:rsid w:val="00EA17CF"/>
    <w:rsid w:val="00EA188C"/>
    <w:rsid w:val="00EA3AB9"/>
    <w:rsid w:val="00EA56E0"/>
    <w:rsid w:val="00EA57AF"/>
    <w:rsid w:val="00EB08ED"/>
    <w:rsid w:val="00EB29F9"/>
    <w:rsid w:val="00ED2E74"/>
    <w:rsid w:val="00EE0B8C"/>
    <w:rsid w:val="00EE3E80"/>
    <w:rsid w:val="00EE56DD"/>
    <w:rsid w:val="00EE753A"/>
    <w:rsid w:val="00EE7C1D"/>
    <w:rsid w:val="00F05FC1"/>
    <w:rsid w:val="00F16163"/>
    <w:rsid w:val="00F25AB0"/>
    <w:rsid w:val="00F3147B"/>
    <w:rsid w:val="00F32D34"/>
    <w:rsid w:val="00F34C0D"/>
    <w:rsid w:val="00F4060E"/>
    <w:rsid w:val="00F469D7"/>
    <w:rsid w:val="00F46A07"/>
    <w:rsid w:val="00F52F6B"/>
    <w:rsid w:val="00F549D2"/>
    <w:rsid w:val="00F5536C"/>
    <w:rsid w:val="00F563BB"/>
    <w:rsid w:val="00F652C1"/>
    <w:rsid w:val="00F82F1D"/>
    <w:rsid w:val="00F95972"/>
    <w:rsid w:val="00FB0CA6"/>
    <w:rsid w:val="00FB6576"/>
    <w:rsid w:val="00FC0E74"/>
    <w:rsid w:val="00FC1ECB"/>
    <w:rsid w:val="00FD199A"/>
    <w:rsid w:val="00FD5E62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0EDE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F47"/>
    <w:pPr>
      <w:spacing w:after="160"/>
    </w:pPr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qFormat/>
    <w:rsid w:val="00304F59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F82F1D"/>
    <w:pPr>
      <w:spacing w:before="120" w:after="480"/>
    </w:pPr>
    <w:rPr>
      <w:sz w:val="22"/>
    </w:rPr>
  </w:style>
  <w:style w:type="paragraph" w:customStyle="1" w:styleId="Sakstittel2">
    <w:name w:val="Sakstittel2"/>
    <w:basedOn w:val="Liste-forts"/>
    <w:rsid w:val="00C11E8E"/>
    <w:pPr>
      <w:spacing w:before="120"/>
      <w:ind w:left="0"/>
    </w:pPr>
    <w:rPr>
      <w:i/>
    </w:rPr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paragraph" w:styleId="Liste-forts">
    <w:name w:val="List Continue"/>
    <w:basedOn w:val="Normal"/>
    <w:semiHidden/>
    <w:unhideWhenUsed/>
    <w:rsid w:val="00126EF6"/>
    <w:pPr>
      <w:spacing w:after="120"/>
      <w:ind w:left="283"/>
      <w:contextualSpacing/>
    </w:pPr>
  </w:style>
  <w:style w:type="paragraph" w:customStyle="1" w:styleId="Normalskjulttekst">
    <w:name w:val="Normal skjult tekst"/>
    <w:basedOn w:val="Normal"/>
    <w:qFormat/>
    <w:rsid w:val="007D23EB"/>
    <w:rPr>
      <w:vanish/>
      <w:color w:val="FF0000"/>
    </w:rPr>
  </w:style>
  <w:style w:type="character" w:customStyle="1" w:styleId="TopptekstTegn">
    <w:name w:val="Topptekst Tegn"/>
    <w:basedOn w:val="Standardskriftforavsnitt"/>
    <w:link w:val="Topptekst"/>
    <w:uiPriority w:val="99"/>
    <w:rsid w:val="00D106A5"/>
    <w:rPr>
      <w:rFonts w:ascii="Calibri" w:hAnsi="Calibri"/>
      <w:sz w:val="16"/>
      <w:szCs w:val="24"/>
    </w:rPr>
  </w:style>
  <w:style w:type="paragraph" w:styleId="Listeavsnitt">
    <w:name w:val="List Paragraph"/>
    <w:basedOn w:val="Normal"/>
    <w:uiPriority w:val="34"/>
    <w:qFormat/>
    <w:rsid w:val="00DD2D41"/>
    <w:pPr>
      <w:ind w:left="720"/>
      <w:contextualSpacing/>
    </w:pPr>
  </w:style>
  <w:style w:type="paragraph" w:styleId="Ingenmellomrom">
    <w:name w:val="No Spacing"/>
    <w:uiPriority w:val="1"/>
    <w:qFormat/>
    <w:rsid w:val="00DD2D41"/>
    <w:rPr>
      <w:rFonts w:ascii="Calibri" w:hAnsi="Calibri"/>
      <w:sz w:val="24"/>
      <w:szCs w:val="24"/>
    </w:rPr>
  </w:style>
  <w:style w:type="paragraph" w:customStyle="1" w:styleId="MsoNoSpacing0">
    <w:name w:val="MsoNoSpacing"/>
    <w:basedOn w:val="Normal"/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F3A696FAE7F4B94705CCE99B73A51" ma:contentTypeVersion="10" ma:contentTypeDescription="Create a new document." ma:contentTypeScope="" ma:versionID="36c53432322957c7505a7568d82193ca">
  <xsd:schema xmlns:xsd="http://www.w3.org/2001/XMLSchema" xmlns:xs="http://www.w3.org/2001/XMLSchema" xmlns:p="http://schemas.microsoft.com/office/2006/metadata/properties" xmlns:ns3="83f24436-4728-48e5-b531-cbadd6a1b096" xmlns:ns4="63311c60-b543-443f-933d-bb9609fb902a" targetNamespace="http://schemas.microsoft.com/office/2006/metadata/properties" ma:root="true" ma:fieldsID="d7fa943b2c9502fcd2d9479c9ebf2fbd" ns3:_="" ns4:_="">
    <xsd:import namespace="83f24436-4728-48e5-b531-cbadd6a1b096"/>
    <xsd:import namespace="63311c60-b543-443f-933d-bb9609fb90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4436-4728-48e5-b531-cbadd6a1b0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1c60-b543-443f-933d-bb9609fb90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4EE2E9-EF69-468A-A1ED-FA5C3B999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B2B12-F9FC-44B4-B16F-44F1A1C1F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E00FA-592E-4528-ACF0-D3A8472E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24436-4728-48e5-b531-cbadd6a1b096"/>
    <ds:schemaRef ds:uri="63311c60-b543-443f-933d-bb9609fb9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C956B-8CBF-435B-B608-460B4F4CF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6252</Characters>
  <Application>Microsoft Office Word</Application>
  <DocSecurity>4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2024-03-19T12:01:00Z</dcterms:created>
  <dcterms:modified xsi:type="dcterms:W3CDTF">2024-03-19T12:01:00Z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0x0101005E2F3A696FAE7F4B94705CCE99B73A51</vt:lpwstr>
  </property>
  <property fmtid="{D5CDD505-2E9C-101B-9397-08002B2CF9AE}" pid="3" name="MSIP_Label_6c1ddb62-140e-4097-8af8-4e371778cdd7_ActionId">
    <vt:lpwstr>526dadfc-9503-42d9-bbe8-746d3c4d8f28</vt:lpwstr>
  </property>
  <property fmtid="{D5CDD505-2E9C-101B-9397-08002B2CF9AE}" pid="4" name="MSIP_Label_6c1ddb62-140e-4097-8af8-4e371778cdd7_Application">
    <vt:lpwstr>Microsoft Azure Information Protection</vt:lpwstr>
  </property>
  <property fmtid="{D5CDD505-2E9C-101B-9397-08002B2CF9AE}" pid="5" name="MSIP_Label_6c1ddb62-140e-4097-8af8-4e371778cdd7_Enabled">
    <vt:lpwstr>True</vt:lpwstr>
  </property>
  <property fmtid="{D5CDD505-2E9C-101B-9397-08002B2CF9AE}" pid="6" name="MSIP_Label_6c1ddb62-140e-4097-8af8-4e371778cdd7_Extended_MSFT_Method">
    <vt:lpwstr>Manual</vt:lpwstr>
  </property>
  <property fmtid="{D5CDD505-2E9C-101B-9397-08002B2CF9AE}" pid="7" name="MSIP_Label_6c1ddb62-140e-4097-8af8-4e371778cdd7_Name">
    <vt:lpwstr>Public</vt:lpwstr>
  </property>
  <property fmtid="{D5CDD505-2E9C-101B-9397-08002B2CF9AE}" pid="8" name="MSIP_Label_6c1ddb62-140e-4097-8af8-4e371778cdd7_Owner">
    <vt:lpwstr>stian.eggen@evry.com</vt:lpwstr>
  </property>
  <property fmtid="{D5CDD505-2E9C-101B-9397-08002B2CF9AE}" pid="9" name="MSIP_Label_6c1ddb62-140e-4097-8af8-4e371778cdd7_SetDate">
    <vt:lpwstr>2019-10-21T09:25:09.4975257Z</vt:lpwstr>
  </property>
  <property fmtid="{D5CDD505-2E9C-101B-9397-08002B2CF9AE}" pid="10" name="MSIP_Label_6c1ddb62-140e-4097-8af8-4e371778cdd7_SiteId">
    <vt:lpwstr>40cc2915-e283-4a27-9471-6bdd7ca4c6e1</vt:lpwstr>
  </property>
  <property fmtid="{D5CDD505-2E9C-101B-9397-08002B2CF9AE}" pid="11" name="Sensitivity">
    <vt:lpwstr>Public</vt:lpwstr>
  </property>
</Properties>
</file>