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956BC" w14:textId="77777777" w:rsidR="003A0590" w:rsidRPr="003F5583" w:rsidRDefault="00C80CF4" w:rsidP="003F5583">
      <w:pPr>
        <w:spacing w:line="360" w:lineRule="auto"/>
        <w:rPr>
          <w:b/>
          <w:bCs/>
        </w:rPr>
      </w:pPr>
      <w:r>
        <w:rPr>
          <w:b/>
          <w:bCs/>
        </w:rPr>
        <w:t>Saksprotokoll i</w:t>
      </w:r>
      <w:r w:rsidR="00F05FC1">
        <w:rPr>
          <w:b/>
          <w:bCs/>
        </w:rPr>
        <w:t xml:space="preserve"> </w:t>
      </w:r>
      <w:r>
        <w:rPr>
          <w:b/>
          <w:bCs/>
        </w:rPr>
        <w:t xml:space="preserve"> </w:t>
      </w:r>
      <w:bookmarkStart w:id="0" w:name="UtvalgsNavn"/>
      <w:r w:rsidR="00872A1E" w:rsidRPr="007229E9">
        <w:rPr>
          <w:b/>
          <w:bCs/>
        </w:rPr>
        <w:t>Formannskapet</w:t>
      </w:r>
      <w:bookmarkEnd w:id="0"/>
      <w:r w:rsidR="00872A1E" w:rsidRPr="007229E9">
        <w:rPr>
          <w:b/>
          <w:bCs/>
        </w:rPr>
        <w:t xml:space="preserve"> </w:t>
      </w:r>
      <w:r>
        <w:rPr>
          <w:b/>
          <w:bCs/>
        </w:rPr>
        <w:t xml:space="preserve">- </w:t>
      </w:r>
      <w:r w:rsidR="00872A1E" w:rsidRPr="007229E9">
        <w:rPr>
          <w:b/>
          <w:bCs/>
        </w:rPr>
        <w:t xml:space="preserve"> </w:t>
      </w:r>
      <w:bookmarkStart w:id="1" w:name="Møtedato"/>
      <w:r w:rsidR="0076101F">
        <w:rPr>
          <w:b/>
          <w:bCs/>
        </w:rPr>
        <w:t>03.12.2024</w:t>
      </w:r>
      <w:bookmarkEnd w:id="1"/>
      <w:r w:rsidR="0076101F">
        <w:rPr>
          <w:b/>
          <w:bCs/>
        </w:rPr>
        <w:t xml:space="preserve"> - </w:t>
      </w:r>
      <w:bookmarkStart w:id="2" w:name="møtesaksnr"/>
      <w:r w:rsidR="0076101F">
        <w:rPr>
          <w:b/>
          <w:bCs/>
        </w:rPr>
        <w:t>57/2024</w:t>
      </w:r>
      <w:bookmarkEnd w:id="2"/>
      <w:r w:rsidR="0076101F">
        <w:rPr>
          <w:b/>
          <w:bCs/>
        </w:rPr>
        <w:t xml:space="preserve"> :</w:t>
      </w:r>
    </w:p>
    <w:p w14:paraId="32B74903" w14:textId="77777777" w:rsidR="007C63E7" w:rsidRPr="00167CE2" w:rsidRDefault="007C63E7" w:rsidP="007C63E7">
      <w:pPr>
        <w:spacing w:after="0" w:line="360" w:lineRule="auto"/>
        <w:rPr>
          <w:bCs/>
        </w:rPr>
      </w:pPr>
    </w:p>
    <w:p w14:paraId="3C78D9A6" w14:textId="77777777" w:rsidR="00872A1E" w:rsidRPr="00964EC1" w:rsidRDefault="00C80CF4" w:rsidP="00964EC1">
      <w:pPr>
        <w:rPr>
          <w:b/>
        </w:rPr>
      </w:pPr>
      <w:r w:rsidRPr="00964EC1">
        <w:rPr>
          <w:b/>
        </w:rPr>
        <w:t>Vedtak</w:t>
      </w:r>
      <w:r w:rsidR="00565642">
        <w:rPr>
          <w:b/>
        </w:rPr>
        <w:t>:</w:t>
      </w:r>
    </w:p>
    <w:p w14:paraId="03427BD1" w14:textId="4EEB2172" w:rsidR="005D76A3" w:rsidRPr="00714946" w:rsidRDefault="00C80CF4" w:rsidP="00847D75">
      <w:pPr>
        <w:spacing w:after="0"/>
      </w:pPr>
      <w:bookmarkStart w:id="3" w:name="Vedtak"/>
      <w:r w:rsidRPr="00714946">
        <w:t>1.    Økonomiplanen og budsjett vedtas i henhold til hovedoversiktene. </w:t>
      </w:r>
      <w:r w:rsidRPr="00714946">
        <w:br/>
        <w:t xml:space="preserve">Investeringsbudsjettet i henhold til hovedoversiktene vedtas. Sum låneopptak for 2025 er </w:t>
      </w:r>
      <w:r w:rsidR="00F1025E">
        <w:t>86</w:t>
      </w:r>
      <w:r w:rsidR="00AD7668">
        <w:t> 116 000</w:t>
      </w:r>
      <w:r w:rsidRPr="00714946">
        <w:t>. (Inkludert selvkostlån).</w:t>
      </w:r>
      <w:r w:rsidRPr="00714946">
        <w:br/>
        <w:t>2.    I tillegg vedtas det innbetaling til KLP EK innskudd på 2,1 millioner, dette finansieres av HK avdrag på lån eller avsatt fond fra oppgjør ansvarlig lån </w:t>
      </w:r>
      <w:r w:rsidRPr="00714946">
        <w:br/>
        <w:t>3. De to nøkkeltallene netto rentebærende gjeld og nivå på driftsfond vedtas som ønsket nivå for Brønnøy i planperioden i henhold til saksfremlegg. </w:t>
      </w:r>
      <w:r w:rsidRPr="00714946">
        <w:br/>
        <w:t>Nytt nøkkeltall for netto driftsresultat (uten premieavvik) i prosent av brutto driftsinntekter skal være:</w:t>
      </w:r>
      <w:r w:rsidRPr="00714946">
        <w:br/>
        <w:t>I 2026: 0%</w:t>
      </w:r>
      <w:r w:rsidRPr="00714946">
        <w:br/>
        <w:t>I 2027: 0.5%</w:t>
      </w:r>
      <w:r w:rsidRPr="00714946">
        <w:br/>
        <w:t>I 2028: 1.0%</w:t>
      </w:r>
      <w:r w:rsidRPr="00714946">
        <w:br/>
        <w:t>I 2029: 1.75%</w:t>
      </w:r>
      <w:r w:rsidRPr="00714946">
        <w:br/>
        <w:t>4.    Skatteøret på inntekt og formue settes til den høyeste prosentsats som stortinget bestemmer.</w:t>
      </w:r>
      <w:r w:rsidRPr="00714946">
        <w:br/>
        <w:t>5.    For eiendomsskatteåret 2025 skal det skrives ut eiendomsskatt i hele kommunen jf esktl § 3 første ledd bokstav a. </w:t>
      </w:r>
      <w:r w:rsidRPr="00714946">
        <w:br/>
        <w:t>6.    «For eiendomsskatteåret 2025 skal det skrives ut eiendomsskatt på kraftverk, vindkraftverk, kraftnettet og anlegg omfattet av særskattereglene for petroleum, jf. eigedomsskattelova (esktl.) § 3 første ledd bokstav c.» </w:t>
      </w:r>
      <w:r w:rsidRPr="00714946">
        <w:br/>
        <w:t>7    «For eiendomsskatteåret 2025 skal det også skrives ut eiendomsskatt på et «særskilt fastsett grunnlag» i henhold til overgangsregelen til eiendomsskatteloven §§ 3 og 4 første ledd. Det særskilte grunnlaget skal i 2025 være lik 1/7 av differansen mellom eiendomsskattegrunnlaget i 2018 og 2019 som er forårsaket av at produksjonsutstyr- og installasjoner ikke skal regnes med i grunnlaget for verk og bruk som fra og med 2019 blir ansett som næringseiendom.» </w:t>
      </w:r>
      <w:r w:rsidRPr="00714946">
        <w:br/>
        <w:t>8.    «Den alminnelige eiendomsskattesatsen for skatteåret 2025 er 7 promille, jf. esktl. § 11 første ledd. </w:t>
      </w:r>
      <w:r w:rsidRPr="00714946">
        <w:br/>
        <w:t>9.    Differensiert skattesats for eiendommer med sjølvstendige bustaddelar for skatteåret 2025 er 4 promille, jf. esktl. § 12 bokstav a. Den samme satsen skal også legges til grunn for fritidsboliger.» </w:t>
      </w:r>
      <w:r w:rsidRPr="00714946">
        <w:br/>
        <w:t>10.    Det gis fritak på eiendommer ihht vedlagte fritaksliste etter eiendomsskatteloven paragraf 7a. </w:t>
      </w:r>
      <w:r w:rsidRPr="00714946">
        <w:br/>
        <w:t>11.    For skatteåret 2025 gis det ikke fritak etter eiendomsskatteloven § 7b. På generelt grunnlag gis det ikke fritak etter § 7b med mindre bygningen er fredet. </w:t>
      </w:r>
      <w:r w:rsidRPr="00714946">
        <w:br/>
        <w:t>12.    For skatteåret 2025 gis det ikke fritak etter eiendomsskatteloven § 7c, § 7d eller § 7e </w:t>
      </w:r>
      <w:r w:rsidRPr="00714946">
        <w:br/>
        <w:t>13.    Tidligere vedtatte fjerning av bunnfradrag på 100 000 for eneboliger, leiligheter, tomannsboliger og hytte/fritidsboliger videreføres </w:t>
      </w:r>
      <w:r w:rsidRPr="00714946">
        <w:br/>
        <w:t>14.    Eiendomsskatten blir skrevet ut i 4 terminer jf esktl § 25 første ledd. </w:t>
      </w:r>
      <w:r w:rsidRPr="00714946">
        <w:br/>
        <w:t>15.    Det opptas startlån på 40 millioner i 2025.</w:t>
      </w:r>
      <w:r w:rsidRPr="00714946">
        <w:br/>
        <w:t>16.    Vann, avløp, slam og feiing skal være 100 % selvfinansiert for 2025. Jfr. vedlagt forhåndskalkyle kommunale gebyrer - Budsjett 2025. </w:t>
      </w:r>
      <w:r w:rsidRPr="00714946">
        <w:br/>
      </w:r>
      <w:r w:rsidRPr="00714946">
        <w:lastRenderedPageBreak/>
        <w:t>17.  Finansiering av økt tilbud demens.</w:t>
      </w:r>
      <w:r w:rsidRPr="00714946">
        <w:br/>
        <w:t> Økt tilbud demens finansiering ved å kutte i, og flytte investeringer som følger:</w:t>
      </w:r>
    </w:p>
    <w:tbl>
      <w:tblPr>
        <w:tblW w:w="7485" w:type="dxa"/>
        <w:tblCellSpacing w:w="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190"/>
        <w:gridCol w:w="1210"/>
        <w:gridCol w:w="1246"/>
        <w:gridCol w:w="1246"/>
        <w:gridCol w:w="593"/>
      </w:tblGrid>
      <w:tr w:rsidR="00EC0620" w14:paraId="43BB0326"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894B17B" w14:textId="77777777" w:rsidR="005D76A3" w:rsidRPr="00714946" w:rsidRDefault="00C80CF4" w:rsidP="00847D75">
            <w:pPr>
              <w:spacing w:after="0"/>
            </w:pPr>
            <w:r w:rsidRPr="00714946">
              <w:rPr>
                <w:b/>
                <w:bCs/>
              </w:rPr>
              <w:t>Reduksjon</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B698A22" w14:textId="77777777" w:rsidR="005D76A3" w:rsidRPr="00714946" w:rsidRDefault="00C80CF4" w:rsidP="00847D75">
            <w:pPr>
              <w:spacing w:after="0"/>
            </w:pPr>
            <w:r w:rsidRPr="00714946">
              <w:rPr>
                <w:b/>
                <w:bCs/>
              </w:rPr>
              <w:t>2025    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AE53203" w14:textId="77777777" w:rsidR="005D76A3" w:rsidRPr="00714946" w:rsidRDefault="00C80CF4" w:rsidP="00847D75">
            <w:pPr>
              <w:spacing w:after="0"/>
            </w:pPr>
            <w:r w:rsidRPr="00714946">
              <w:rPr>
                <w:b/>
                <w:bCs/>
              </w:rPr>
              <w:t>2026</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5BC7A13" w14:textId="77777777" w:rsidR="005D76A3" w:rsidRPr="00714946" w:rsidRDefault="00C80CF4" w:rsidP="00847D75">
            <w:pPr>
              <w:spacing w:after="0"/>
            </w:pPr>
            <w:r w:rsidRPr="00714946">
              <w:rPr>
                <w:b/>
                <w:bCs/>
              </w:rPr>
              <w:t>2027</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AA414B4" w14:textId="77777777" w:rsidR="005D76A3" w:rsidRPr="00714946" w:rsidRDefault="00C80CF4" w:rsidP="00847D75">
            <w:pPr>
              <w:spacing w:after="0"/>
            </w:pPr>
            <w:r w:rsidRPr="00714946">
              <w:rPr>
                <w:b/>
                <w:bCs/>
              </w:rPr>
              <w:t>2028</w:t>
            </w:r>
          </w:p>
        </w:tc>
      </w:tr>
      <w:tr w:rsidR="00EC0620" w14:paraId="0B3263D2"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874A6C3" w14:textId="77777777" w:rsidR="005D76A3" w:rsidRPr="00714946" w:rsidRDefault="00C80CF4" w:rsidP="00847D75">
            <w:pPr>
              <w:spacing w:after="0"/>
            </w:pPr>
            <w:r w:rsidRPr="00714946">
              <w:t>1. Erverv/utbygging bolig</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E2E7E80" w14:textId="77777777" w:rsidR="005D76A3" w:rsidRPr="00714946" w:rsidRDefault="00C80CF4" w:rsidP="00847D75">
            <w:pPr>
              <w:spacing w:after="0"/>
            </w:pPr>
            <w:r w:rsidRPr="00714946">
              <w:t>-4 000 000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8B7D17C" w14:textId="77777777" w:rsidR="005D76A3" w:rsidRPr="00714946" w:rsidRDefault="00C80CF4" w:rsidP="00847D75">
            <w:pPr>
              <w:spacing w:after="0"/>
            </w:pPr>
            <w:r w:rsidRPr="00714946">
              <w:t>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EEC6BD8" w14:textId="77777777" w:rsidR="005D76A3" w:rsidRPr="00714946" w:rsidRDefault="00C80CF4" w:rsidP="00847D75">
            <w:pPr>
              <w:spacing w:after="0"/>
            </w:pPr>
            <w:r w:rsidRPr="00714946">
              <w:t>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EF22997" w14:textId="77777777" w:rsidR="005D76A3" w:rsidRPr="00714946" w:rsidRDefault="00C80CF4" w:rsidP="00847D75">
            <w:pPr>
              <w:spacing w:after="0"/>
            </w:pPr>
            <w:r w:rsidRPr="00714946">
              <w:t> </w:t>
            </w:r>
          </w:p>
        </w:tc>
      </w:tr>
      <w:tr w:rsidR="00EC0620" w14:paraId="326E4933"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72C1A3A" w14:textId="77777777" w:rsidR="005D76A3" w:rsidRPr="00714946" w:rsidRDefault="00C80CF4" w:rsidP="00847D75">
            <w:pPr>
              <w:spacing w:after="0"/>
            </w:pPr>
            <w:r w:rsidRPr="00714946">
              <w:t>2. Kirke vedlikehold</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1F6D99E" w14:textId="77777777" w:rsidR="005D76A3" w:rsidRPr="00714946" w:rsidRDefault="00C80CF4" w:rsidP="00847D75">
            <w:pPr>
              <w:spacing w:after="0"/>
            </w:pPr>
            <w:r w:rsidRPr="00714946">
              <w:t>-1 500 000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607653A" w14:textId="77777777" w:rsidR="005D76A3" w:rsidRPr="00714946" w:rsidRDefault="00C80CF4" w:rsidP="00847D75">
            <w:pPr>
              <w:spacing w:after="0"/>
            </w:pPr>
            <w:r w:rsidRPr="00714946">
              <w:t> -500 000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4C3524F" w14:textId="77777777" w:rsidR="005D76A3" w:rsidRPr="00714946" w:rsidRDefault="00C80CF4" w:rsidP="00847D75">
            <w:pPr>
              <w:spacing w:after="0"/>
            </w:pPr>
            <w:r w:rsidRPr="00714946">
              <w:t>- 500 000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439A4A7" w14:textId="77777777" w:rsidR="005D76A3" w:rsidRPr="00714946" w:rsidRDefault="00C80CF4" w:rsidP="00847D75">
            <w:pPr>
              <w:spacing w:after="0"/>
            </w:pPr>
            <w:r w:rsidRPr="00714946">
              <w:t> </w:t>
            </w:r>
          </w:p>
        </w:tc>
      </w:tr>
      <w:tr w:rsidR="00EC0620" w14:paraId="6E830372"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BFAFBA6" w14:textId="77777777" w:rsidR="005D76A3" w:rsidRPr="00714946" w:rsidRDefault="00C80CF4" w:rsidP="00847D75">
            <w:pPr>
              <w:spacing w:after="0"/>
            </w:pPr>
            <w:r w:rsidRPr="00714946">
              <w:t>6.Solskjerming Samfunnshuset</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694EC23" w14:textId="77777777" w:rsidR="005D76A3" w:rsidRPr="00714946" w:rsidRDefault="00C80CF4" w:rsidP="00847D75">
            <w:pPr>
              <w:spacing w:after="0"/>
            </w:pPr>
            <w:r w:rsidRPr="00714946">
              <w:t>   -250 000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A33FCF1" w14:textId="77777777" w:rsidR="005D76A3" w:rsidRPr="00714946" w:rsidRDefault="00C80CF4" w:rsidP="00847D75">
            <w:pPr>
              <w:spacing w:after="0"/>
            </w:pPr>
            <w:r w:rsidRPr="00714946">
              <w:t>   250 000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77B77B3" w14:textId="77777777" w:rsidR="005D76A3" w:rsidRPr="00714946" w:rsidRDefault="00C80CF4" w:rsidP="00847D75">
            <w:pPr>
              <w:spacing w:after="0"/>
            </w:pPr>
            <w:r w:rsidRPr="00714946">
              <w:t>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6ABF92C" w14:textId="77777777" w:rsidR="005D76A3" w:rsidRPr="00714946" w:rsidRDefault="00C80CF4" w:rsidP="00847D75">
            <w:pPr>
              <w:spacing w:after="0"/>
            </w:pPr>
            <w:r w:rsidRPr="00714946">
              <w:t> </w:t>
            </w:r>
          </w:p>
        </w:tc>
      </w:tr>
      <w:tr w:rsidR="00EC0620" w14:paraId="0ABCBDDB"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3280CEC" w14:textId="77777777" w:rsidR="005D76A3" w:rsidRPr="00714946" w:rsidRDefault="00C80CF4" w:rsidP="00847D75">
            <w:pPr>
              <w:spacing w:after="0"/>
            </w:pPr>
            <w:r w:rsidRPr="00714946">
              <w:t>3.Utskifting lysrør- til 2027</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28491C7" w14:textId="77777777" w:rsidR="005D76A3" w:rsidRPr="00714946" w:rsidRDefault="00C80CF4" w:rsidP="00847D75">
            <w:pPr>
              <w:spacing w:after="0"/>
            </w:pPr>
            <w:r w:rsidRPr="00714946">
              <w:t> -1 600 000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2D9432D" w14:textId="77777777" w:rsidR="005D76A3" w:rsidRPr="00714946" w:rsidRDefault="00C80CF4" w:rsidP="00847D75">
            <w:pPr>
              <w:spacing w:after="0"/>
            </w:pPr>
            <w:r w:rsidRPr="00714946">
              <w:t>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3F304EA" w14:textId="77777777" w:rsidR="005D76A3" w:rsidRPr="00714946" w:rsidRDefault="00C80CF4" w:rsidP="00847D75">
            <w:pPr>
              <w:spacing w:after="0"/>
            </w:pPr>
            <w:r w:rsidRPr="00714946">
              <w:t>   1 600 000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D10709B" w14:textId="77777777" w:rsidR="005D76A3" w:rsidRPr="00714946" w:rsidRDefault="00C80CF4" w:rsidP="00847D75">
            <w:pPr>
              <w:spacing w:after="0"/>
            </w:pPr>
            <w:r w:rsidRPr="00714946">
              <w:t> </w:t>
            </w:r>
          </w:p>
        </w:tc>
      </w:tr>
      <w:tr w:rsidR="00EC0620" w14:paraId="649002FB"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5CC4258" w14:textId="77777777" w:rsidR="005D76A3" w:rsidRPr="00714946" w:rsidRDefault="00C80CF4" w:rsidP="00847D75">
            <w:pPr>
              <w:spacing w:after="0"/>
            </w:pPr>
            <w:r w:rsidRPr="00714946">
              <w:t>33. Ny tank bil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819DDE6" w14:textId="77777777" w:rsidR="005D76A3" w:rsidRPr="00714946" w:rsidRDefault="00C80CF4" w:rsidP="00847D75">
            <w:pPr>
              <w:spacing w:after="0"/>
            </w:pPr>
            <w:r w:rsidRPr="00714946">
              <w:t> -50 000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3626F4F" w14:textId="77777777" w:rsidR="005D76A3" w:rsidRPr="00714946" w:rsidRDefault="00C80CF4" w:rsidP="00847D75">
            <w:pPr>
              <w:spacing w:after="0"/>
            </w:pPr>
            <w:r w:rsidRPr="00714946">
              <w:t> -4 900 000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25510BA" w14:textId="77777777" w:rsidR="005D76A3" w:rsidRPr="00714946" w:rsidRDefault="00C80CF4" w:rsidP="00847D75">
            <w:pPr>
              <w:spacing w:after="0"/>
            </w:pPr>
            <w:r w:rsidRPr="00714946">
              <w:t>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46F800C" w14:textId="77777777" w:rsidR="005D76A3" w:rsidRPr="00714946" w:rsidRDefault="00C80CF4" w:rsidP="00847D75">
            <w:pPr>
              <w:spacing w:after="0"/>
            </w:pPr>
            <w:r w:rsidRPr="00714946">
              <w:t> </w:t>
            </w:r>
          </w:p>
        </w:tc>
      </w:tr>
      <w:tr w:rsidR="00EC0620" w14:paraId="21566AA2"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3CF40FD" w14:textId="77777777" w:rsidR="005D76A3" w:rsidRPr="00714946" w:rsidRDefault="00C80CF4" w:rsidP="00847D75">
            <w:pPr>
              <w:spacing w:after="0"/>
            </w:pPr>
            <w:r w:rsidRPr="00714946">
              <w:t>33. Ny tank bil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0FCC94E" w14:textId="77777777" w:rsidR="005D76A3" w:rsidRPr="00714946" w:rsidRDefault="00C80CF4" w:rsidP="00847D75">
            <w:pPr>
              <w:spacing w:after="0"/>
            </w:pPr>
            <w:r w:rsidRPr="00714946">
              <w:t> </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CC3934C" w14:textId="77777777" w:rsidR="005D76A3" w:rsidRPr="00714946" w:rsidRDefault="00C80CF4" w:rsidP="00847D75">
            <w:pPr>
              <w:spacing w:after="0"/>
            </w:pPr>
            <w:r w:rsidRPr="00714946">
              <w:t>50 000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5F69BE8" w14:textId="77777777" w:rsidR="005D76A3" w:rsidRPr="00714946" w:rsidRDefault="00C80CF4" w:rsidP="00847D75">
            <w:pPr>
              <w:spacing w:after="0"/>
            </w:pPr>
            <w:r w:rsidRPr="00714946">
              <w:t>4 900 000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0C7F031" w14:textId="77777777" w:rsidR="005D76A3" w:rsidRPr="00714946" w:rsidRDefault="00C80CF4" w:rsidP="00847D75">
            <w:pPr>
              <w:spacing w:after="0"/>
            </w:pPr>
            <w:r w:rsidRPr="00714946">
              <w:t> </w:t>
            </w:r>
          </w:p>
        </w:tc>
      </w:tr>
      <w:tr w:rsidR="00EC0620" w14:paraId="3885E3CC" w14:textId="77777777">
        <w:trPr>
          <w:tblCellSpacing w:w="8" w:type="dxa"/>
        </w:trPr>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B4592BC" w14:textId="77777777" w:rsidR="005D76A3" w:rsidRPr="00714946" w:rsidRDefault="00C80CF4" w:rsidP="00847D75">
            <w:pPr>
              <w:spacing w:after="0"/>
            </w:pPr>
            <w:r w:rsidRPr="00714946">
              <w:t>14. Renovering basseng</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71AED86" w14:textId="77777777" w:rsidR="005D76A3" w:rsidRPr="00714946" w:rsidRDefault="00C80CF4" w:rsidP="00847D75">
            <w:pPr>
              <w:spacing w:after="0"/>
            </w:pPr>
            <w:r w:rsidRPr="00714946">
              <w:t> -2 500 000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F16DC23" w14:textId="77777777" w:rsidR="005D76A3" w:rsidRPr="00714946" w:rsidRDefault="00C80CF4" w:rsidP="00847D75">
            <w:pPr>
              <w:spacing w:after="0"/>
            </w:pPr>
            <w:r w:rsidRPr="00714946">
              <w:t>   2 500 000</w:t>
            </w:r>
          </w:p>
        </w:tc>
        <w:tc>
          <w:tcPr>
            <w:tcW w:w="0" w:type="auto"/>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B07F5DF" w14:textId="77777777" w:rsidR="005D76A3" w:rsidRPr="00714946" w:rsidRDefault="00C80CF4" w:rsidP="00847D75">
            <w:pPr>
              <w:spacing w:after="0"/>
            </w:pPr>
            <w:r w:rsidRPr="00714946">
              <w:t> </w:t>
            </w:r>
          </w:p>
        </w:tc>
        <w:tc>
          <w:tcPr>
            <w:tcW w:w="0" w:type="auto"/>
            <w:vAlign w:val="center"/>
            <w:hideMark/>
          </w:tcPr>
          <w:p w14:paraId="1B70269C" w14:textId="77777777" w:rsidR="005D76A3" w:rsidRPr="00714946" w:rsidRDefault="005D76A3"/>
        </w:tc>
      </w:tr>
    </w:tbl>
    <w:p w14:paraId="0380DAA3" w14:textId="77777777" w:rsidR="005D76A3" w:rsidRPr="00714946" w:rsidRDefault="00C80CF4" w:rsidP="00847D75">
      <w:pPr>
        <w:spacing w:after="0"/>
      </w:pPr>
      <w:r w:rsidRPr="00714946">
        <w:t>18   Samfunnshuset som kulturhus</w:t>
      </w:r>
      <w:r w:rsidRPr="00714946">
        <w:br/>
        <w:t>Samfunnshuset i Brønnøysund har vært kommunens viktigste samfunnshus i flere årtier. Dagens lokaler slett ikke gunstige for hverken kulturarrangement eller kulturarbeidere med behov for egnede lokaler i hverdagen. Å oppgradere samfunnshuset er trolig den eneste realistiske løsningen vi har for å skaffe regionen et kulturhus med akseptable forhold for kulturarrangementer. Det må skaleres og bygges sånn at det kan tilfredsstille behovene til så vel lokalt kulturliv som til profesjonelle tilreisende aktører. Samtidig bør samfunnshuset også bli et hus for daglig og mangfoldig kulturell aktivitet. Investeringer for planperioden tabell 2 endres på følgende måte: Pkt 1. Erverv og/eller utbygging av boenheter til kommunale formål: 2025 – 9 800 000, 2026 – 0, 2027 – 10 000 000 Nytt pkt: Oppgradering av samfunnshus til et bedre kulturhus. Målet er å ha et realistisk og godt kulturhusprosjekt klart for oppstart i løpet av inneværende kommunestyreperiode:</w:t>
      </w:r>
      <w:r w:rsidRPr="00714946">
        <w:br/>
        <w:t>2025 – 0, 2026 – 5 000 000, 2027 – 5 000 000. Dekkes med tilsvarende reduksjon på pkt. 1.</w:t>
      </w:r>
    </w:p>
    <w:p w14:paraId="0150444F" w14:textId="77777777" w:rsidR="005D76A3" w:rsidRPr="00714946" w:rsidRDefault="00C80CF4" w:rsidP="00847D75">
      <w:pPr>
        <w:spacing w:after="0"/>
      </w:pPr>
      <w:r w:rsidRPr="00714946">
        <w:t>19 Rekruttere og beholde</w:t>
      </w:r>
      <w:r w:rsidRPr="00714946">
        <w:br/>
        <w:t>Brønnøy Kommune har høyt sykefravær og mangel på kompetanse. Dette medfører bruk avvikarer fra bemanningsbyrå og bruk av overtid innen helseområdet, for oppvekstområdet er det særdeles vanskelig å få tak i vikarer under skoleåret. I en fremtidig situasjon med behov for flere hender og med færre arbeidstakere i tilgjengelig i samfunnet vil det bli en kamp om arbeidskraften og det vil bli utfordrende å levere tjenester av tilstrekkelig kvalitet.</w:t>
      </w:r>
      <w:r w:rsidRPr="00714946">
        <w:br/>
        <w:t>Brønnøy Kommune trenger kompetent personale og personale med rett kompetanse på rett plass slik at vi kan tilby effektiv og gode tjenester både innen helse/omsorg området og oppvekstområdet. Begge områdene har høyt sykefravær noe som kan medfører at</w:t>
      </w:r>
      <w:r w:rsidRPr="00714946">
        <w:br/>
        <w:t>tjenestene som leveres ikke er av tilstrekkelig kvalitet og/eller i henhold til det som er</w:t>
      </w:r>
      <w:r w:rsidRPr="00714946">
        <w:br/>
        <w:t>lovpålagt.</w:t>
      </w:r>
      <w:r w:rsidRPr="00714946">
        <w:br/>
        <w:t>For å gjøre Brønnøy Kommune bedre i stand til å rekruttere og beholde nødvendig</w:t>
      </w:r>
      <w:r w:rsidRPr="00714946">
        <w:br/>
        <w:t>kompetanse skal flere tiltak utredes og fremlegges for politisk behandling, f eks</w:t>
      </w:r>
      <w:r w:rsidRPr="00714946">
        <w:br/>
        <w:t>seniorpolitikk, økt grunnbemanning for å unngå overtid/vikarbruk, utnytte restarbeidsevne og lignende.</w:t>
      </w:r>
      <w:r w:rsidRPr="00714946">
        <w:br/>
        <w:t>Med de utfordringer kommunen står over er det særdeles viktig med partsamarbeid og</w:t>
      </w:r>
      <w:r w:rsidRPr="00714946">
        <w:br/>
        <w:t>medvirkning. Det er derfor viktig at arbeidet skjer i samarbeid med ansatte og tillitsvalgte.</w:t>
      </w:r>
      <w:r w:rsidRPr="00714946">
        <w:br/>
        <w:t>Det skal orienteres om arbeidet underveis i administrasjonsutvalget. Sak legges frem for kommunestyret i forbindelse med behandling av kuttlisten for budsjett 2026.</w:t>
      </w:r>
    </w:p>
    <w:p w14:paraId="1D31BBD8" w14:textId="0529E010" w:rsidR="005D76A3" w:rsidRPr="00714946" w:rsidRDefault="00C80CF4" w:rsidP="00847D75">
      <w:pPr>
        <w:spacing w:after="0"/>
      </w:pPr>
      <w:r w:rsidRPr="00714946">
        <w:t>20. Næringsarbeidet i kommunen styrkes ved at grunnerverv av næringsområder forseres slik at det avsettes 3 MNOK for hvert av årene 2025-27 og deretter 1 MNOK i 2028. Finansiering skjer ved bruk av ubundne investeringsfond. </w:t>
      </w:r>
      <w:bookmarkEnd w:id="3"/>
    </w:p>
    <w:sectPr w:rsidR="005D76A3" w:rsidRPr="00714946" w:rsidSect="007C6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4BFD"/>
    <w:multiLevelType w:val="hybridMultilevel"/>
    <w:tmpl w:val="C63C8F60"/>
    <w:lvl w:ilvl="0" w:tplc="546ADBA8">
      <w:start w:val="1"/>
      <w:numFmt w:val="bullet"/>
      <w:lvlText w:val=""/>
      <w:lvlJc w:val="left"/>
      <w:pPr>
        <w:ind w:left="1100" w:hanging="360"/>
      </w:pPr>
      <w:rPr>
        <w:rFonts w:ascii="Symbol" w:hAnsi="Symbol" w:hint="default"/>
      </w:rPr>
    </w:lvl>
    <w:lvl w:ilvl="1" w:tplc="5D72513E" w:tentative="1">
      <w:start w:val="1"/>
      <w:numFmt w:val="bullet"/>
      <w:lvlText w:val="o"/>
      <w:lvlJc w:val="left"/>
      <w:pPr>
        <w:ind w:left="1820" w:hanging="360"/>
      </w:pPr>
      <w:rPr>
        <w:rFonts w:ascii="Courier New" w:hAnsi="Courier New" w:cs="Courier New" w:hint="default"/>
      </w:rPr>
    </w:lvl>
    <w:lvl w:ilvl="2" w:tplc="12188936" w:tentative="1">
      <w:start w:val="1"/>
      <w:numFmt w:val="bullet"/>
      <w:lvlText w:val=""/>
      <w:lvlJc w:val="left"/>
      <w:pPr>
        <w:ind w:left="2540" w:hanging="360"/>
      </w:pPr>
      <w:rPr>
        <w:rFonts w:ascii="Wingdings" w:hAnsi="Wingdings" w:hint="default"/>
      </w:rPr>
    </w:lvl>
    <w:lvl w:ilvl="3" w:tplc="6F0446BA" w:tentative="1">
      <w:start w:val="1"/>
      <w:numFmt w:val="bullet"/>
      <w:lvlText w:val=""/>
      <w:lvlJc w:val="left"/>
      <w:pPr>
        <w:ind w:left="3260" w:hanging="360"/>
      </w:pPr>
      <w:rPr>
        <w:rFonts w:ascii="Symbol" w:hAnsi="Symbol" w:hint="default"/>
      </w:rPr>
    </w:lvl>
    <w:lvl w:ilvl="4" w:tplc="E4BEFBA0" w:tentative="1">
      <w:start w:val="1"/>
      <w:numFmt w:val="bullet"/>
      <w:lvlText w:val="o"/>
      <w:lvlJc w:val="left"/>
      <w:pPr>
        <w:ind w:left="3980" w:hanging="360"/>
      </w:pPr>
      <w:rPr>
        <w:rFonts w:ascii="Courier New" w:hAnsi="Courier New" w:cs="Courier New" w:hint="default"/>
      </w:rPr>
    </w:lvl>
    <w:lvl w:ilvl="5" w:tplc="D5000742" w:tentative="1">
      <w:start w:val="1"/>
      <w:numFmt w:val="bullet"/>
      <w:lvlText w:val=""/>
      <w:lvlJc w:val="left"/>
      <w:pPr>
        <w:ind w:left="4700" w:hanging="360"/>
      </w:pPr>
      <w:rPr>
        <w:rFonts w:ascii="Wingdings" w:hAnsi="Wingdings" w:hint="default"/>
      </w:rPr>
    </w:lvl>
    <w:lvl w:ilvl="6" w:tplc="C86A416C" w:tentative="1">
      <w:start w:val="1"/>
      <w:numFmt w:val="bullet"/>
      <w:lvlText w:val=""/>
      <w:lvlJc w:val="left"/>
      <w:pPr>
        <w:ind w:left="5420" w:hanging="360"/>
      </w:pPr>
      <w:rPr>
        <w:rFonts w:ascii="Symbol" w:hAnsi="Symbol" w:hint="default"/>
      </w:rPr>
    </w:lvl>
    <w:lvl w:ilvl="7" w:tplc="4866E684" w:tentative="1">
      <w:start w:val="1"/>
      <w:numFmt w:val="bullet"/>
      <w:lvlText w:val="o"/>
      <w:lvlJc w:val="left"/>
      <w:pPr>
        <w:ind w:left="6140" w:hanging="360"/>
      </w:pPr>
      <w:rPr>
        <w:rFonts w:ascii="Courier New" w:hAnsi="Courier New" w:cs="Courier New" w:hint="default"/>
      </w:rPr>
    </w:lvl>
    <w:lvl w:ilvl="8" w:tplc="DF6601F6" w:tentative="1">
      <w:start w:val="1"/>
      <w:numFmt w:val="bullet"/>
      <w:lvlText w:val=""/>
      <w:lvlJc w:val="left"/>
      <w:pPr>
        <w:ind w:left="6860" w:hanging="360"/>
      </w:pPr>
      <w:rPr>
        <w:rFonts w:ascii="Wingdings" w:hAnsi="Wingdings" w:hint="default"/>
      </w:rPr>
    </w:lvl>
  </w:abstractNum>
  <w:abstractNum w:abstractNumId="1" w15:restartNumberingAfterBreak="0">
    <w:nsid w:val="0CC64BFE"/>
    <w:multiLevelType w:val="multilevel"/>
    <w:tmpl w:val="0CC64BF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99825957">
    <w:abstractNumId w:val="0"/>
  </w:num>
  <w:num w:numId="2" w16cid:durableId="704057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95"/>
    <w:rsid w:val="000155A6"/>
    <w:rsid w:val="000237F1"/>
    <w:rsid w:val="00047D95"/>
    <w:rsid w:val="00112967"/>
    <w:rsid w:val="00121C53"/>
    <w:rsid w:val="00167CE2"/>
    <w:rsid w:val="00193862"/>
    <w:rsid w:val="001A240A"/>
    <w:rsid w:val="001D5FBA"/>
    <w:rsid w:val="001E306A"/>
    <w:rsid w:val="002523FA"/>
    <w:rsid w:val="00252B32"/>
    <w:rsid w:val="00302447"/>
    <w:rsid w:val="00305038"/>
    <w:rsid w:val="00341E67"/>
    <w:rsid w:val="003A0590"/>
    <w:rsid w:val="003E1EDB"/>
    <w:rsid w:val="003F1E45"/>
    <w:rsid w:val="003F5583"/>
    <w:rsid w:val="00406EC9"/>
    <w:rsid w:val="004C477A"/>
    <w:rsid w:val="004D07BF"/>
    <w:rsid w:val="004F217D"/>
    <w:rsid w:val="00565642"/>
    <w:rsid w:val="00585B7E"/>
    <w:rsid w:val="005D76A3"/>
    <w:rsid w:val="006524CF"/>
    <w:rsid w:val="00670701"/>
    <w:rsid w:val="00690A38"/>
    <w:rsid w:val="006E366A"/>
    <w:rsid w:val="006E4B9E"/>
    <w:rsid w:val="006F3A49"/>
    <w:rsid w:val="00714946"/>
    <w:rsid w:val="007229E9"/>
    <w:rsid w:val="00731767"/>
    <w:rsid w:val="0076101F"/>
    <w:rsid w:val="007C63E7"/>
    <w:rsid w:val="008034EB"/>
    <w:rsid w:val="00847D75"/>
    <w:rsid w:val="00872A1E"/>
    <w:rsid w:val="00881E7F"/>
    <w:rsid w:val="008A77DB"/>
    <w:rsid w:val="008B32D1"/>
    <w:rsid w:val="00964EC1"/>
    <w:rsid w:val="00983D44"/>
    <w:rsid w:val="00A1416E"/>
    <w:rsid w:val="00A67F9C"/>
    <w:rsid w:val="00AB407D"/>
    <w:rsid w:val="00AC4BE6"/>
    <w:rsid w:val="00AD7668"/>
    <w:rsid w:val="00B01658"/>
    <w:rsid w:val="00B146D6"/>
    <w:rsid w:val="00B24A96"/>
    <w:rsid w:val="00B85344"/>
    <w:rsid w:val="00BB4B6E"/>
    <w:rsid w:val="00BC5074"/>
    <w:rsid w:val="00BD78F0"/>
    <w:rsid w:val="00BF098E"/>
    <w:rsid w:val="00C678ED"/>
    <w:rsid w:val="00C80CF4"/>
    <w:rsid w:val="00C84774"/>
    <w:rsid w:val="00C8571C"/>
    <w:rsid w:val="00CA30CC"/>
    <w:rsid w:val="00CA335A"/>
    <w:rsid w:val="00D54122"/>
    <w:rsid w:val="00D56863"/>
    <w:rsid w:val="00D57E92"/>
    <w:rsid w:val="00D923FA"/>
    <w:rsid w:val="00D93AFB"/>
    <w:rsid w:val="00E47299"/>
    <w:rsid w:val="00E7705E"/>
    <w:rsid w:val="00E9628A"/>
    <w:rsid w:val="00EB319D"/>
    <w:rsid w:val="00EC0620"/>
    <w:rsid w:val="00ED483B"/>
    <w:rsid w:val="00EE1BDF"/>
    <w:rsid w:val="00F05FC1"/>
    <w:rsid w:val="00F1025E"/>
    <w:rsid w:val="00FD2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6DE3"/>
  <w15:chartTrackingRefBased/>
  <w15:docId w15:val="{FDADBAC3-0525-445C-9FD2-24BC9CD1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63"/>
    <w:pPr>
      <w:spacing w:line="240" w:lineRule="auto"/>
    </w:pPr>
    <w:rPr>
      <w:rFonts w:ascii="Calibri" w:hAnsi="Calibri"/>
      <w:sz w:val="24"/>
    </w:rPr>
  </w:style>
  <w:style w:type="paragraph" w:styleId="Overskrift1">
    <w:name w:val="heading 1"/>
    <w:basedOn w:val="Normal"/>
    <w:next w:val="Normal"/>
    <w:link w:val="Overskrift1Tegn"/>
    <w:uiPriority w:val="9"/>
    <w:qFormat/>
    <w:rsid w:val="00302447"/>
    <w:pPr>
      <w:keepNext/>
      <w:keepLines/>
      <w:spacing w:before="120" w:after="0" w:line="360" w:lineRule="auto"/>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341E67"/>
    <w:pPr>
      <w:keepNext/>
      <w:keepLines/>
      <w:spacing w:before="120" w:after="0" w:line="360" w:lineRule="auto"/>
      <w:outlineLvl w:val="1"/>
    </w:pPr>
    <w:rPr>
      <w:rFonts w:eastAsiaTheme="majorEastAsia" w:cstheme="majorBidi"/>
      <w:b/>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B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341E67"/>
    <w:rPr>
      <w:rFonts w:eastAsiaTheme="majorEastAsia" w:cstheme="majorBidi"/>
      <w:b/>
      <w:szCs w:val="26"/>
    </w:rPr>
  </w:style>
  <w:style w:type="character" w:customStyle="1" w:styleId="Overskrift1Tegn">
    <w:name w:val="Overskrift 1 Tegn"/>
    <w:basedOn w:val="Standardskriftforavsnitt"/>
    <w:link w:val="Overskrift1"/>
    <w:uiPriority w:val="9"/>
    <w:rsid w:val="00302447"/>
    <w:rPr>
      <w:rFonts w:eastAsiaTheme="majorEastAsia" w:cstheme="majorBidi"/>
      <w:b/>
      <w:sz w:val="24"/>
      <w:szCs w:val="32"/>
    </w:rPr>
  </w:style>
  <w:style w:type="paragraph" w:customStyle="1" w:styleId="Sakstittel1">
    <w:name w:val="Sakstittel1"/>
    <w:basedOn w:val="Overskrift1"/>
    <w:qFormat/>
    <w:rsid w:val="00B146D6"/>
    <w:pPr>
      <w:spacing w:after="480" w:line="240" w:lineRule="auto"/>
      <w:contextualSpacing/>
    </w:pPr>
  </w:style>
  <w:style w:type="paragraph" w:customStyle="1" w:styleId="Sakstittel2">
    <w:name w:val="Sakstittel2"/>
    <w:basedOn w:val="Liste-forts2"/>
    <w:qFormat/>
    <w:rsid w:val="006E366A"/>
    <w:pPr>
      <w:keepNext/>
      <w:spacing w:before="120"/>
      <w:ind w:left="0"/>
    </w:pPr>
    <w:rPr>
      <w:i/>
    </w:rPr>
  </w:style>
  <w:style w:type="paragraph" w:styleId="Listeavsnitt">
    <w:name w:val="List Paragraph"/>
    <w:basedOn w:val="Normal"/>
    <w:uiPriority w:val="34"/>
    <w:qFormat/>
    <w:rsid w:val="00121C53"/>
    <w:pPr>
      <w:keepNext/>
      <w:spacing w:after="120"/>
    </w:pPr>
  </w:style>
  <w:style w:type="paragraph" w:styleId="Liste-forts2">
    <w:name w:val="List Continue 2"/>
    <w:basedOn w:val="Normal"/>
    <w:uiPriority w:val="99"/>
    <w:semiHidden/>
    <w:unhideWhenUsed/>
    <w:rsid w:val="00714946"/>
    <w:pPr>
      <w:spacing w:after="120"/>
      <w:ind w:left="566"/>
      <w:contextualSpacing/>
    </w:pPr>
  </w:style>
  <w:style w:type="paragraph" w:styleId="Topptekst">
    <w:name w:val="header"/>
    <w:basedOn w:val="Normal"/>
    <w:link w:val="TopptekstTegn"/>
    <w:uiPriority w:val="99"/>
    <w:unhideWhenUsed/>
    <w:rsid w:val="003A0590"/>
    <w:pPr>
      <w:tabs>
        <w:tab w:val="center" w:pos="4536"/>
        <w:tab w:val="right" w:pos="9072"/>
      </w:tabs>
      <w:spacing w:after="0"/>
    </w:pPr>
  </w:style>
  <w:style w:type="character" w:customStyle="1" w:styleId="TopptekstTegn">
    <w:name w:val="Topptekst Tegn"/>
    <w:basedOn w:val="Standardskriftforavsnitt"/>
    <w:link w:val="Topptekst"/>
    <w:uiPriority w:val="99"/>
    <w:rsid w:val="003A0590"/>
  </w:style>
  <w:style w:type="paragraph" w:styleId="Bunntekst">
    <w:name w:val="footer"/>
    <w:basedOn w:val="Normal"/>
    <w:link w:val="BunntekstTegn"/>
    <w:uiPriority w:val="99"/>
    <w:unhideWhenUsed/>
    <w:rsid w:val="003A0590"/>
    <w:pPr>
      <w:tabs>
        <w:tab w:val="center" w:pos="4536"/>
        <w:tab w:val="right" w:pos="9072"/>
      </w:tabs>
      <w:spacing w:after="0"/>
    </w:pPr>
  </w:style>
  <w:style w:type="character" w:customStyle="1" w:styleId="BunntekstTegn">
    <w:name w:val="Bunntekst Tegn"/>
    <w:basedOn w:val="Standardskriftforavsnitt"/>
    <w:link w:val="Bunntekst"/>
    <w:uiPriority w:val="99"/>
    <w:rsid w:val="003A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3709D-B445-4B7D-A6D5-CE653233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8A613-28A4-4A38-9BFE-118BDE111B5F}">
  <ds:schemaRefs>
    <ds:schemaRef ds:uri="http://schemas.microsoft.com/sharepoint/v3/contenttype/forms"/>
  </ds:schemaRefs>
</ds:datastoreItem>
</file>

<file path=customXml/itemProps3.xml><?xml version="1.0" encoding="utf-8"?>
<ds:datastoreItem xmlns:ds="http://schemas.openxmlformats.org/officeDocument/2006/customXml" ds:itemID="{D9CA8D62-3D16-44F6-BD1F-2A5DF2A900FE}">
  <ds:schemaRefs>
    <ds:schemaRef ds:uri="http://schemas.openxmlformats.org/officeDocument/2006/bibliography"/>
  </ds:schemaRefs>
</ds:datastoreItem>
</file>

<file path=customXml/itemProps4.xml><?xml version="1.0" encoding="utf-8"?>
<ds:datastoreItem xmlns:ds="http://schemas.openxmlformats.org/officeDocument/2006/customXml" ds:itemID="{83F7A431-F854-45C0-849C-03AE9E586A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975</Words>
  <Characters>5006</Characters>
  <Application>Microsoft Office Word</Application>
  <DocSecurity>0</DocSecurity>
  <Lines>185</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 Slotterøy</dc:creator>
  <cp:lastModifiedBy>Aina Slotterøy</cp:lastModifiedBy>
  <cp:revision>4</cp:revision>
  <dcterms:created xsi:type="dcterms:W3CDTF">2024-12-04T13:29:00Z</dcterms:created>
  <dcterms:modified xsi:type="dcterms:W3CDTF">2024-12-05T09:38:00Z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59f67481-5c55-4a22-8abf-54227db255fb</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2019-10-21T09:24:07.0104399Z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