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29D0" w14:textId="77777777" w:rsidR="003A0590" w:rsidRPr="003F5583" w:rsidRDefault="00C979E3" w:rsidP="003F5583">
      <w:pPr>
        <w:spacing w:line="360" w:lineRule="auto"/>
        <w:rPr>
          <w:b/>
          <w:bCs/>
        </w:rPr>
      </w:pPr>
      <w:r>
        <w:rPr>
          <w:b/>
          <w:bCs/>
        </w:rPr>
        <w:t>Saksprotokoll i</w:t>
      </w:r>
      <w:r w:rsidR="00F05FC1">
        <w:rPr>
          <w:b/>
          <w:bCs/>
        </w:rPr>
        <w:t xml:space="preserve"> </w:t>
      </w:r>
      <w:r>
        <w:rPr>
          <w:b/>
          <w:bCs/>
        </w:rPr>
        <w:t xml:space="preserve"> </w:t>
      </w:r>
      <w:bookmarkStart w:id="0" w:name="UtvalgsNavn"/>
      <w:r w:rsidR="00872A1E" w:rsidRPr="007229E9">
        <w:rPr>
          <w:b/>
          <w:bCs/>
        </w:rPr>
        <w:t>Formannskapet</w:t>
      </w:r>
      <w:bookmarkEnd w:id="0"/>
      <w:r w:rsidR="00872A1E" w:rsidRPr="007229E9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872A1E" w:rsidRPr="007229E9">
        <w:rPr>
          <w:b/>
          <w:bCs/>
        </w:rPr>
        <w:t xml:space="preserve"> </w:t>
      </w:r>
      <w:bookmarkStart w:id="1" w:name="Møtedato"/>
      <w:r w:rsidR="0076101F">
        <w:rPr>
          <w:b/>
          <w:bCs/>
        </w:rPr>
        <w:t>28.11.2023</w:t>
      </w:r>
      <w:bookmarkEnd w:id="1"/>
      <w:r w:rsidR="0076101F">
        <w:rPr>
          <w:b/>
          <w:bCs/>
        </w:rPr>
        <w:t xml:space="preserve"> - </w:t>
      </w:r>
      <w:bookmarkStart w:id="2" w:name="møtesaksnr"/>
      <w:r w:rsidR="0076101F">
        <w:rPr>
          <w:b/>
          <w:bCs/>
        </w:rPr>
        <w:t>91/2023</w:t>
      </w:r>
      <w:bookmarkEnd w:id="2"/>
      <w:r w:rsidR="0076101F">
        <w:rPr>
          <w:b/>
          <w:bCs/>
        </w:rPr>
        <w:t xml:space="preserve"> :</w:t>
      </w:r>
    </w:p>
    <w:p w14:paraId="016BFCFD" w14:textId="77777777" w:rsidR="00E47299" w:rsidRDefault="00C979E3" w:rsidP="007C63E7">
      <w:pPr>
        <w:spacing w:after="0" w:line="360" w:lineRule="auto"/>
        <w:rPr>
          <w:b/>
        </w:rPr>
      </w:pPr>
      <w:r w:rsidRPr="00964EC1">
        <w:rPr>
          <w:b/>
        </w:rPr>
        <w:t>Behandling</w:t>
      </w:r>
      <w:r w:rsidR="00565642">
        <w:rPr>
          <w:b/>
        </w:rPr>
        <w:t>:</w:t>
      </w:r>
      <w:r w:rsidR="00406EC9">
        <w:rPr>
          <w:b/>
        </w:rPr>
        <w:t xml:space="preserve"> </w:t>
      </w:r>
    </w:p>
    <w:p w14:paraId="26D52305" w14:textId="77777777" w:rsidR="007C63E7" w:rsidRPr="00167CE2" w:rsidRDefault="00C979E3" w:rsidP="007C63E7">
      <w:pPr>
        <w:spacing w:after="0" w:line="360" w:lineRule="auto"/>
        <w:rPr>
          <w:bCs/>
        </w:rPr>
      </w:pPr>
      <w:bookmarkStart w:id="3" w:name="Behandling"/>
      <w:r w:rsidRPr="00167CE2">
        <w:rPr>
          <w:b/>
          <w:bCs/>
        </w:rPr>
        <w:t>Representant Frode Granås (AP)</w:t>
      </w:r>
      <w:r w:rsidRPr="00167CE2">
        <w:rPr>
          <w:bCs/>
        </w:rPr>
        <w:t xml:space="preserve"> foreslo følgende nye pkt.:</w:t>
      </w:r>
    </w:p>
    <w:p w14:paraId="59AD37A1" w14:textId="77777777" w:rsidR="007C63E7" w:rsidRPr="00167CE2" w:rsidRDefault="00C979E3" w:rsidP="007C63E7">
      <w:pPr>
        <w:pStyle w:val="elementtoproof"/>
        <w:spacing w:after="0" w:line="360" w:lineRule="auto"/>
        <w:rPr>
          <w:bCs/>
        </w:rPr>
      </w:pPr>
      <w:r w:rsidRPr="00167CE2">
        <w:rPr>
          <w:rFonts w:ascii="Arial" w:eastAsia="Arial" w:hAnsi="Arial" w:cs="Arial"/>
          <w:bCs/>
          <w:sz w:val="22"/>
        </w:rPr>
        <w:t xml:space="preserve">19. Inndekning for tap av renteinntekter på 420 000 knyttet til bevilgning av 7 millioner til tømmerkai dekkes opp ved bruk </w:t>
      </w:r>
      <w:r w:rsidRPr="00167CE2">
        <w:rPr>
          <w:rFonts w:ascii="Arial" w:eastAsia="Arial" w:hAnsi="Arial" w:cs="Arial"/>
          <w:bCs/>
          <w:sz w:val="22"/>
        </w:rPr>
        <w:t>av disposisjonsfondet. Alternativt kan man kutte planlagte andre investeringer i 2024 for tilsvarende beløp. Dette legges frem for kommunestyret 13.12.2023.</w:t>
      </w:r>
    </w:p>
    <w:p w14:paraId="653C0566" w14:textId="77777777" w:rsidR="007C63E7" w:rsidRPr="00167CE2" w:rsidRDefault="00C979E3" w:rsidP="007C63E7">
      <w:pPr>
        <w:spacing w:after="0" w:line="360" w:lineRule="auto"/>
        <w:rPr>
          <w:bCs/>
        </w:rPr>
      </w:pPr>
      <w:r w:rsidRPr="00167CE2">
        <w:rPr>
          <w:rFonts w:ascii="Arial" w:eastAsia="Arial" w:hAnsi="Arial" w:cs="Arial"/>
          <w:bCs/>
          <w:sz w:val="22"/>
        </w:rPr>
        <w:t>20 Konsekvens av å velge en annen modell enn 4.0 i skolestruktursaken medfører at man må finne inndekning for kutt som ikke gjøres på struktur. Disse kuttene skal gjøres innenfor skole og oppvekstsektoren.</w:t>
      </w:r>
    </w:p>
    <w:p w14:paraId="4AA7FD69" w14:textId="77777777" w:rsidR="007C63E7" w:rsidRPr="00167CE2" w:rsidRDefault="00C979E3" w:rsidP="007C63E7">
      <w:pPr>
        <w:spacing w:after="0" w:line="360" w:lineRule="auto"/>
        <w:rPr>
          <w:bCs/>
        </w:rPr>
      </w:pPr>
      <w:r w:rsidRPr="00167CE2">
        <w:rPr>
          <w:rFonts w:ascii="Arial" w:eastAsia="Arial" w:hAnsi="Arial" w:cs="Arial"/>
          <w:bCs/>
          <w:sz w:val="22"/>
        </w:rPr>
        <w:t>21. Formannskapet ønsker fast sak i alle formannskapsmøter hvor man rapporterer status for kutt forslag.</w:t>
      </w:r>
    </w:p>
    <w:p w14:paraId="29B17971" w14:textId="77777777" w:rsidR="007C63E7" w:rsidRPr="00167CE2" w:rsidRDefault="00C979E3" w:rsidP="007C63E7">
      <w:pPr>
        <w:spacing w:after="0" w:line="360" w:lineRule="auto"/>
        <w:rPr>
          <w:bCs/>
        </w:rPr>
      </w:pPr>
      <w:r w:rsidRPr="00167CE2">
        <w:rPr>
          <w:rFonts w:ascii="Arial" w:eastAsia="Arial" w:hAnsi="Arial" w:cs="Arial"/>
          <w:b/>
          <w:bCs/>
          <w:sz w:val="22"/>
        </w:rPr>
        <w:t>Enstemmig vedtak:</w:t>
      </w:r>
      <w:r w:rsidRPr="00167CE2">
        <w:rPr>
          <w:rFonts w:ascii="Arial" w:eastAsia="Arial" w:hAnsi="Arial" w:cs="Arial"/>
          <w:b/>
          <w:bCs/>
          <w:sz w:val="22"/>
        </w:rPr>
        <w:br/>
      </w:r>
      <w:r w:rsidRPr="00167CE2">
        <w:rPr>
          <w:rFonts w:ascii="Arial" w:eastAsia="Arial" w:hAnsi="Arial" w:cs="Arial"/>
          <w:bCs/>
          <w:sz w:val="22"/>
        </w:rPr>
        <w:t>Kommunedirektørens pkt. 1-18 ble enstemmig vedtatt.</w:t>
      </w:r>
      <w:r w:rsidRPr="00167CE2">
        <w:rPr>
          <w:rFonts w:ascii="Arial" w:eastAsia="Arial" w:hAnsi="Arial" w:cs="Arial"/>
          <w:bCs/>
          <w:sz w:val="22"/>
        </w:rPr>
        <w:br/>
      </w:r>
      <w:r w:rsidRPr="00167CE2">
        <w:rPr>
          <w:bCs/>
        </w:rPr>
        <w:t>Forslaget fra representant Granås pkt. 19-21 ble enstemmig vedtatt.</w:t>
      </w:r>
    </w:p>
    <w:bookmarkEnd w:id="3"/>
    <w:p w14:paraId="188CA4CB" w14:textId="77777777" w:rsidR="007C63E7" w:rsidRPr="00167CE2" w:rsidRDefault="007C63E7" w:rsidP="007C63E7">
      <w:pPr>
        <w:spacing w:after="0" w:line="360" w:lineRule="auto"/>
        <w:rPr>
          <w:bCs/>
        </w:rPr>
      </w:pPr>
    </w:p>
    <w:p w14:paraId="669AB0D2" w14:textId="77777777" w:rsidR="00872A1E" w:rsidRPr="00964EC1" w:rsidRDefault="00C979E3" w:rsidP="00964EC1">
      <w:pPr>
        <w:rPr>
          <w:b/>
        </w:rPr>
      </w:pPr>
      <w:r w:rsidRPr="00964EC1">
        <w:rPr>
          <w:b/>
        </w:rPr>
        <w:t>Vedtak</w:t>
      </w:r>
      <w:r w:rsidR="00565642">
        <w:rPr>
          <w:b/>
        </w:rPr>
        <w:t>:</w:t>
      </w:r>
    </w:p>
    <w:p w14:paraId="577E6784" w14:textId="77777777" w:rsidR="005D76A3" w:rsidRPr="00714946" w:rsidRDefault="00C979E3" w:rsidP="00847D75">
      <w:pPr>
        <w:spacing w:after="165"/>
      </w:pPr>
      <w:bookmarkStart w:id="4" w:name="Vedtak"/>
      <w:r w:rsidRPr="00714946">
        <w:rPr>
          <w:rFonts w:ascii="Arial" w:eastAsia="Arial" w:hAnsi="Arial" w:cs="Arial"/>
          <w:sz w:val="22"/>
        </w:rPr>
        <w:t>1. Økonomiplanen og budsjett vedtas i henhold til tabell 1.</w:t>
      </w:r>
    </w:p>
    <w:p w14:paraId="27561D21" w14:textId="77777777" w:rsidR="005D76A3" w:rsidRPr="00714946" w:rsidRDefault="00C979E3" w:rsidP="00847D75">
      <w:pPr>
        <w:spacing w:after="165"/>
      </w:pPr>
      <w:r w:rsidRPr="00714946">
        <w:rPr>
          <w:rFonts w:ascii="Arial" w:eastAsia="Arial" w:hAnsi="Arial" w:cs="Arial"/>
          <w:sz w:val="22"/>
        </w:rPr>
        <w:t>2. Investeringsbudsjettet i henhold til tabell 2 vedtas. I tillegg kommer moms på 7,8 millioner.</w:t>
      </w:r>
      <w:r w:rsidRPr="00714946">
        <w:rPr>
          <w:rFonts w:ascii="Arial" w:eastAsia="Arial" w:hAnsi="Arial" w:cs="Arial"/>
          <w:sz w:val="22"/>
        </w:rPr>
        <w:br/>
        <w:t>Sum låneopptak for 2024 er 44 133 000. (Inkludert selvkostlån)</w:t>
      </w:r>
    </w:p>
    <w:p w14:paraId="2DA83D3A" w14:textId="77777777" w:rsidR="005D76A3" w:rsidRPr="00714946" w:rsidRDefault="00C979E3" w:rsidP="00847D75">
      <w:pPr>
        <w:spacing w:after="165"/>
      </w:pPr>
      <w:r w:rsidRPr="00714946">
        <w:rPr>
          <w:rFonts w:ascii="Arial" w:eastAsia="Arial" w:hAnsi="Arial" w:cs="Arial"/>
          <w:sz w:val="22"/>
        </w:rPr>
        <w:t>3. I tillegg vedtas det innbetaling til KLP EK innskudd på 2,1 millioner, dette finansieres av HK avdrag på lån.</w:t>
      </w:r>
    </w:p>
    <w:p w14:paraId="2A41A36D" w14:textId="77777777" w:rsidR="005D76A3" w:rsidRPr="00714946" w:rsidRDefault="00C979E3" w:rsidP="00847D75">
      <w:pPr>
        <w:spacing w:after="165"/>
      </w:pPr>
      <w:r w:rsidRPr="00714946">
        <w:rPr>
          <w:rFonts w:ascii="Arial" w:eastAsia="Arial" w:hAnsi="Arial" w:cs="Arial"/>
          <w:sz w:val="22"/>
        </w:rPr>
        <w:t>4. De vedlagte lovpålagte hovedoversiktene vedtas. Disse blir vedlagt etter kommunestyrets behandling.</w:t>
      </w:r>
    </w:p>
    <w:p w14:paraId="33275FC5" w14:textId="77777777" w:rsidR="005D76A3" w:rsidRPr="00714946" w:rsidRDefault="00C979E3" w:rsidP="00847D75">
      <w:pPr>
        <w:spacing w:after="165"/>
      </w:pPr>
      <w:r w:rsidRPr="00714946">
        <w:rPr>
          <w:rFonts w:ascii="Arial" w:eastAsia="Arial" w:hAnsi="Arial" w:cs="Arial"/>
          <w:sz w:val="22"/>
        </w:rPr>
        <w:t>5. De tre nøkkeltallene, netto driftsresultat, netto rentebærende gjeld og nivå på driftsfond vedtas som ønsket nivå for  Brønnøy i planperioden.</w:t>
      </w:r>
    </w:p>
    <w:p w14:paraId="0891D3E0" w14:textId="77777777" w:rsidR="005D76A3" w:rsidRPr="00714946" w:rsidRDefault="00C979E3" w:rsidP="00847D75">
      <w:pPr>
        <w:spacing w:after="165"/>
      </w:pPr>
      <w:r w:rsidRPr="00714946">
        <w:rPr>
          <w:rFonts w:ascii="Arial" w:eastAsia="Arial" w:hAnsi="Arial" w:cs="Arial"/>
          <w:sz w:val="22"/>
        </w:rPr>
        <w:t>6. Skattøret på inntekt og formue settes til den høyeste prosentsats som stortinget bestemmer.</w:t>
      </w:r>
    </w:p>
    <w:p w14:paraId="5D79DA8A" w14:textId="77777777" w:rsidR="005D76A3" w:rsidRPr="00714946" w:rsidRDefault="00C979E3" w:rsidP="00847D75">
      <w:pPr>
        <w:spacing w:after="165"/>
      </w:pPr>
      <w:r w:rsidRPr="00714946">
        <w:rPr>
          <w:rFonts w:ascii="Arial" w:eastAsia="Arial" w:hAnsi="Arial" w:cs="Arial"/>
          <w:sz w:val="22"/>
        </w:rPr>
        <w:t>7. For eiendomsskatteåret 2024 skal det skrives ut eiendomsskatt i hele kommunen jf esktl § 3 første ledd bokstav a.</w:t>
      </w:r>
    </w:p>
    <w:p w14:paraId="26C1D9BE" w14:textId="77777777" w:rsidR="005D76A3" w:rsidRPr="00714946" w:rsidRDefault="00C979E3" w:rsidP="00847D75">
      <w:pPr>
        <w:spacing w:after="165"/>
      </w:pPr>
      <w:r w:rsidRPr="00714946">
        <w:rPr>
          <w:rFonts w:ascii="Arial" w:eastAsia="Arial" w:hAnsi="Arial" w:cs="Arial"/>
          <w:sz w:val="22"/>
        </w:rPr>
        <w:t xml:space="preserve">8. «For eiendomsskatteåret 2024 skal det skrives ut eiendomsskatt på kraftverk, vindkraftverk, kraftnettet og anlegg </w:t>
      </w:r>
      <w:r w:rsidRPr="00714946">
        <w:rPr>
          <w:rFonts w:ascii="Arial" w:eastAsia="Arial" w:hAnsi="Arial" w:cs="Arial"/>
          <w:sz w:val="22"/>
        </w:rPr>
        <w:t>omfattet av særskattereglene for petroleum, jf. eigedomsskattelova (esktl.) § 3 første ledd bokstav c.»</w:t>
      </w:r>
    </w:p>
    <w:p w14:paraId="75CB204B" w14:textId="77777777" w:rsidR="005D76A3" w:rsidRPr="00714946" w:rsidRDefault="00C979E3" w:rsidP="00847D75">
      <w:pPr>
        <w:spacing w:after="165"/>
      </w:pPr>
      <w:r w:rsidRPr="00714946">
        <w:rPr>
          <w:rFonts w:ascii="Arial" w:eastAsia="Arial" w:hAnsi="Arial" w:cs="Arial"/>
          <w:sz w:val="22"/>
        </w:rPr>
        <w:t>9. «For eiendomsskatteåret 2024 skal det også skrives ut eiendomsskatt på et «særskilt fastsett grunnlag» i henhold til overgangsregelen til eiendomsskatteloven §§ 3 og 4 første ledd. Det særskilte grunnlaget skal i 2024 være lik 1/7 av differansen mellom eiendomsskattegrunnlaget i 2018 og 2019 som er forårsaket av at produksjonsutstyr- og installasjoner ikke skal regnes med i grunnlaget for verk og bruk som fra og med 2019 blir ansett som næringseiendom.»</w:t>
      </w:r>
    </w:p>
    <w:p w14:paraId="0CA2C806" w14:textId="77777777" w:rsidR="005D76A3" w:rsidRPr="00714946" w:rsidRDefault="00C979E3" w:rsidP="00847D75">
      <w:pPr>
        <w:spacing w:after="165"/>
      </w:pPr>
      <w:r w:rsidRPr="00714946">
        <w:rPr>
          <w:rFonts w:ascii="Arial" w:eastAsia="Arial" w:hAnsi="Arial" w:cs="Arial"/>
          <w:sz w:val="22"/>
        </w:rPr>
        <w:lastRenderedPageBreak/>
        <w:t>10.«Den alminnelige eiendomsskattesatsen for skatteåret 2023 er 7 promille, jf. esktl. § 11 første ledd.</w:t>
      </w:r>
    </w:p>
    <w:p w14:paraId="5BE03B83" w14:textId="77777777" w:rsidR="005D76A3" w:rsidRPr="00714946" w:rsidRDefault="00C979E3" w:rsidP="00847D75">
      <w:pPr>
        <w:spacing w:after="165"/>
      </w:pPr>
      <w:r w:rsidRPr="00714946">
        <w:rPr>
          <w:rFonts w:ascii="Arial" w:eastAsia="Arial" w:hAnsi="Arial" w:cs="Arial"/>
          <w:sz w:val="22"/>
        </w:rPr>
        <w:t>11.Differensiert skattesats for eiendommer med sjølvstendige bustaddelar for skatteåret 2023 er 4 promille, jf. esktl. § 12 bokstav a. Den samme satsen skal også legges til grunn for fritidsboliger.»</w:t>
      </w:r>
    </w:p>
    <w:p w14:paraId="4457E64F" w14:textId="77777777" w:rsidR="005D76A3" w:rsidRPr="00714946" w:rsidRDefault="00C979E3" w:rsidP="00847D75">
      <w:pPr>
        <w:spacing w:after="165"/>
      </w:pPr>
      <w:r w:rsidRPr="00714946">
        <w:rPr>
          <w:rFonts w:ascii="Arial" w:eastAsia="Arial" w:hAnsi="Arial" w:cs="Arial"/>
          <w:sz w:val="22"/>
        </w:rPr>
        <w:t>12.Det gis fritak på eiendommer ihht vedlagte fritaksliste etter eiendomsskatteloven paragraf 7a.</w:t>
      </w:r>
    </w:p>
    <w:p w14:paraId="7B2B36BE" w14:textId="77777777" w:rsidR="005D76A3" w:rsidRPr="00714946" w:rsidRDefault="00C979E3" w:rsidP="00847D75">
      <w:pPr>
        <w:spacing w:after="165"/>
      </w:pPr>
      <w:r w:rsidRPr="00714946">
        <w:rPr>
          <w:rFonts w:ascii="Arial" w:eastAsia="Arial" w:hAnsi="Arial" w:cs="Arial"/>
          <w:sz w:val="22"/>
        </w:rPr>
        <w:t>13.For skatteåret 2024 gis det ikke fritak etter eiendomsskatteloven § 7b. På generelt grunnlag gis det ikke fritak etter § 7b med mindre bygningen er fredet.</w:t>
      </w:r>
    </w:p>
    <w:p w14:paraId="43E01341" w14:textId="77777777" w:rsidR="005D76A3" w:rsidRPr="00714946" w:rsidRDefault="00C979E3" w:rsidP="00847D75">
      <w:pPr>
        <w:spacing w:after="165"/>
      </w:pPr>
      <w:r w:rsidRPr="00714946">
        <w:rPr>
          <w:rFonts w:ascii="Arial" w:eastAsia="Arial" w:hAnsi="Arial" w:cs="Arial"/>
          <w:sz w:val="22"/>
        </w:rPr>
        <w:t>14.For skatteåret 2024 gis det ikke fritak etter eiendomsskatteloven § 7c, § 7d eller § 7e</w:t>
      </w:r>
    </w:p>
    <w:p w14:paraId="064F84C0" w14:textId="77777777" w:rsidR="005D76A3" w:rsidRPr="00714946" w:rsidRDefault="00C979E3" w:rsidP="00847D75">
      <w:pPr>
        <w:spacing w:after="165"/>
      </w:pPr>
      <w:r w:rsidRPr="00714946">
        <w:rPr>
          <w:rFonts w:ascii="Arial" w:eastAsia="Arial" w:hAnsi="Arial" w:cs="Arial"/>
          <w:sz w:val="22"/>
        </w:rPr>
        <w:t>15.Tidligere vedtatte bunnfradrag på 100 000 for eneboliger, leiligheter, tomannsboliger og hytte/fritidsboliger fjernes gjeldende fra og med skatteåret 2024.</w:t>
      </w:r>
    </w:p>
    <w:p w14:paraId="33A46EF3" w14:textId="77777777" w:rsidR="005D76A3" w:rsidRPr="00714946" w:rsidRDefault="00C979E3" w:rsidP="00847D75">
      <w:pPr>
        <w:spacing w:after="165"/>
      </w:pPr>
      <w:r w:rsidRPr="00714946">
        <w:rPr>
          <w:rFonts w:ascii="Arial" w:eastAsia="Arial" w:hAnsi="Arial" w:cs="Arial"/>
          <w:sz w:val="22"/>
        </w:rPr>
        <w:t>16.Eiendomsskatten blir skrevet ut i 2 terminer jf esktl § 25 første ledd.</w:t>
      </w:r>
    </w:p>
    <w:p w14:paraId="464138C5" w14:textId="77777777" w:rsidR="005D76A3" w:rsidRPr="00714946" w:rsidRDefault="00C979E3" w:rsidP="00847D75">
      <w:pPr>
        <w:spacing w:after="165"/>
      </w:pPr>
      <w:r w:rsidRPr="00714946">
        <w:rPr>
          <w:rFonts w:ascii="Arial" w:eastAsia="Arial" w:hAnsi="Arial" w:cs="Arial"/>
          <w:sz w:val="22"/>
        </w:rPr>
        <w:t>17.Det opptas startlån på 70 millioner i 2024</w:t>
      </w:r>
    </w:p>
    <w:p w14:paraId="4F2BA4E6" w14:textId="77777777" w:rsidR="005D76A3" w:rsidRPr="00714946" w:rsidRDefault="00C979E3" w:rsidP="00847D75">
      <w:pPr>
        <w:spacing w:after="165"/>
      </w:pPr>
      <w:r w:rsidRPr="00714946">
        <w:rPr>
          <w:rFonts w:ascii="Arial" w:eastAsia="Arial" w:hAnsi="Arial" w:cs="Arial"/>
          <w:sz w:val="22"/>
        </w:rPr>
        <w:t xml:space="preserve">18.Vann, avløp, slam og feiing </w:t>
      </w:r>
      <w:r w:rsidRPr="00714946">
        <w:rPr>
          <w:rFonts w:ascii="Arial" w:eastAsia="Arial" w:hAnsi="Arial" w:cs="Arial"/>
          <w:sz w:val="22"/>
        </w:rPr>
        <w:t>skal behandles som et selvkostområde for 2024. Jfr. vedlagt forhåndskalkyle kommunale gebyrer - Budsjett 2024.</w:t>
      </w:r>
    </w:p>
    <w:p w14:paraId="5861E265" w14:textId="77777777" w:rsidR="005D76A3" w:rsidRPr="00714946" w:rsidRDefault="00C979E3" w:rsidP="00847D75">
      <w:pPr>
        <w:pStyle w:val="elementtoproof"/>
        <w:spacing w:after="0"/>
      </w:pPr>
      <w:r w:rsidRPr="00714946">
        <w:rPr>
          <w:rFonts w:ascii="Arial" w:eastAsia="Arial" w:hAnsi="Arial" w:cs="Arial"/>
          <w:sz w:val="22"/>
        </w:rPr>
        <w:t>19. Inndekning for tap av renteinntekter på 420 000 knyttet til bevilgning av 7 millioner til tømmerkai dekkes opp ved bruk av disposisjonsfondet. Alternativt kan man kutte planlagte andre investeringer i 2024 for tilsvarende beløp. Dette legges frem for kommunestyret 13.12.2023.</w:t>
      </w:r>
    </w:p>
    <w:p w14:paraId="3E372A89" w14:textId="77777777" w:rsidR="005D76A3" w:rsidRPr="00714946" w:rsidRDefault="00C979E3" w:rsidP="00847D75">
      <w:pPr>
        <w:spacing w:after="0"/>
      </w:pPr>
      <w:r w:rsidRPr="00714946">
        <w:rPr>
          <w:rFonts w:ascii="Arial" w:eastAsia="Arial" w:hAnsi="Arial" w:cs="Arial"/>
          <w:sz w:val="22"/>
        </w:rPr>
        <w:t>20 Konsekvens av å velge en annen modell enn 4.0 i skolestruktursaken medfører at man må finne inndekning for kutt som ikke gjøres på struktur. Disse kuttene skal gjøres innenfor skole og oppvekstsektoren.</w:t>
      </w:r>
    </w:p>
    <w:p w14:paraId="6567AE8C" w14:textId="77777777" w:rsidR="005D76A3" w:rsidRPr="00714946" w:rsidRDefault="00C979E3" w:rsidP="00847D75">
      <w:pPr>
        <w:spacing w:after="0"/>
      </w:pPr>
      <w:r w:rsidRPr="00714946">
        <w:rPr>
          <w:rFonts w:ascii="Arial" w:eastAsia="Arial" w:hAnsi="Arial" w:cs="Arial"/>
          <w:sz w:val="22"/>
        </w:rPr>
        <w:t>21. Formannskapet ønsker fast sak i alle formannskapsmøter hvor man rapporterer status for kutt forslag.</w:t>
      </w:r>
    </w:p>
    <w:bookmarkEnd w:id="4"/>
    <w:p w14:paraId="55A01676" w14:textId="77777777" w:rsidR="005D76A3" w:rsidRPr="00714946" w:rsidRDefault="005D76A3" w:rsidP="00847D75">
      <w:pPr>
        <w:spacing w:after="0"/>
      </w:pPr>
    </w:p>
    <w:sectPr w:rsidR="005D76A3" w:rsidRPr="00714946" w:rsidSect="007C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4BFD"/>
    <w:multiLevelType w:val="hybridMultilevel"/>
    <w:tmpl w:val="C63C8F60"/>
    <w:lvl w:ilvl="0" w:tplc="0FC8E384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C2665C86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1888611C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ED42BF28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F8BCF3D0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778C91E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FD8A5452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E44E38A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CF8834E6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89982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95"/>
    <w:rsid w:val="000155A6"/>
    <w:rsid w:val="000237F1"/>
    <w:rsid w:val="00047D95"/>
    <w:rsid w:val="00112967"/>
    <w:rsid w:val="00121C53"/>
    <w:rsid w:val="00167CE2"/>
    <w:rsid w:val="00193862"/>
    <w:rsid w:val="001A240A"/>
    <w:rsid w:val="001D5FBA"/>
    <w:rsid w:val="001E306A"/>
    <w:rsid w:val="002523FA"/>
    <w:rsid w:val="00252B32"/>
    <w:rsid w:val="00302447"/>
    <w:rsid w:val="00305038"/>
    <w:rsid w:val="00341E67"/>
    <w:rsid w:val="003A0590"/>
    <w:rsid w:val="003E1EDB"/>
    <w:rsid w:val="003F1E45"/>
    <w:rsid w:val="003F5583"/>
    <w:rsid w:val="00406EC9"/>
    <w:rsid w:val="004C477A"/>
    <w:rsid w:val="004F217D"/>
    <w:rsid w:val="00565642"/>
    <w:rsid w:val="00585B7E"/>
    <w:rsid w:val="005D76A3"/>
    <w:rsid w:val="006524CF"/>
    <w:rsid w:val="00670701"/>
    <w:rsid w:val="00690A38"/>
    <w:rsid w:val="006E366A"/>
    <w:rsid w:val="006E4B9E"/>
    <w:rsid w:val="006F3A49"/>
    <w:rsid w:val="00714946"/>
    <w:rsid w:val="007229E9"/>
    <w:rsid w:val="00731767"/>
    <w:rsid w:val="0076101F"/>
    <w:rsid w:val="007C63E7"/>
    <w:rsid w:val="008034EB"/>
    <w:rsid w:val="00847D75"/>
    <w:rsid w:val="00872A1E"/>
    <w:rsid w:val="00881E7F"/>
    <w:rsid w:val="008A77DB"/>
    <w:rsid w:val="008B32D1"/>
    <w:rsid w:val="00964EC1"/>
    <w:rsid w:val="00983D44"/>
    <w:rsid w:val="00A1416E"/>
    <w:rsid w:val="00A67F9C"/>
    <w:rsid w:val="00AB407D"/>
    <w:rsid w:val="00AC4BE6"/>
    <w:rsid w:val="00B01658"/>
    <w:rsid w:val="00B146D6"/>
    <w:rsid w:val="00B24A96"/>
    <w:rsid w:val="00B85344"/>
    <w:rsid w:val="00BB4B6E"/>
    <w:rsid w:val="00BC5074"/>
    <w:rsid w:val="00BD78F0"/>
    <w:rsid w:val="00BF098E"/>
    <w:rsid w:val="00C678ED"/>
    <w:rsid w:val="00C84774"/>
    <w:rsid w:val="00C8571C"/>
    <w:rsid w:val="00C979E3"/>
    <w:rsid w:val="00CA30CC"/>
    <w:rsid w:val="00CA335A"/>
    <w:rsid w:val="00D54122"/>
    <w:rsid w:val="00D56863"/>
    <w:rsid w:val="00D57E92"/>
    <w:rsid w:val="00D923FA"/>
    <w:rsid w:val="00D93AFB"/>
    <w:rsid w:val="00E47299"/>
    <w:rsid w:val="00E7705E"/>
    <w:rsid w:val="00E9628A"/>
    <w:rsid w:val="00EB319D"/>
    <w:rsid w:val="00ED483B"/>
    <w:rsid w:val="00EE1BDF"/>
    <w:rsid w:val="00F05FC1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FF79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63"/>
    <w:pPr>
      <w:spacing w:line="240" w:lineRule="auto"/>
    </w:pPr>
    <w:rPr>
      <w:rFonts w:ascii="Calibri" w:hAnsi="Calibri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2447"/>
    <w:pPr>
      <w:keepNext/>
      <w:keepLines/>
      <w:spacing w:before="120" w:after="0" w:line="360" w:lineRule="auto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E67"/>
    <w:pPr>
      <w:keepNext/>
      <w:keepLines/>
      <w:spacing w:before="120" w:after="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B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341E67"/>
    <w:rPr>
      <w:rFonts w:eastAsiaTheme="majorEastAsia" w:cstheme="majorBidi"/>
      <w:b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02447"/>
    <w:rPr>
      <w:rFonts w:eastAsiaTheme="majorEastAsia" w:cstheme="majorBidi"/>
      <w:b/>
      <w:sz w:val="24"/>
      <w:szCs w:val="32"/>
    </w:rPr>
  </w:style>
  <w:style w:type="paragraph" w:customStyle="1" w:styleId="Sakstittel1">
    <w:name w:val="Sakstittel1"/>
    <w:basedOn w:val="Overskrift1"/>
    <w:qFormat/>
    <w:rsid w:val="00B146D6"/>
    <w:pPr>
      <w:spacing w:after="480" w:line="240" w:lineRule="auto"/>
      <w:contextualSpacing/>
    </w:pPr>
  </w:style>
  <w:style w:type="paragraph" w:customStyle="1" w:styleId="Sakstittel2">
    <w:name w:val="Sakstittel2"/>
    <w:basedOn w:val="Liste-forts2"/>
    <w:qFormat/>
    <w:rsid w:val="006E366A"/>
    <w:pPr>
      <w:keepNext/>
      <w:spacing w:before="120"/>
      <w:ind w:left="0"/>
    </w:pPr>
    <w:rPr>
      <w:i/>
    </w:rPr>
  </w:style>
  <w:style w:type="paragraph" w:styleId="Listeavsnitt">
    <w:name w:val="List Paragraph"/>
    <w:basedOn w:val="Normal"/>
    <w:uiPriority w:val="34"/>
    <w:qFormat/>
    <w:rsid w:val="00121C53"/>
    <w:pPr>
      <w:keepNext/>
      <w:spacing w:after="120"/>
    </w:pPr>
  </w:style>
  <w:style w:type="paragraph" w:styleId="Liste-forts2">
    <w:name w:val="List Continue 2"/>
    <w:basedOn w:val="Normal"/>
    <w:uiPriority w:val="99"/>
    <w:semiHidden/>
    <w:unhideWhenUsed/>
    <w:rsid w:val="00714946"/>
    <w:pPr>
      <w:spacing w:after="120"/>
      <w:ind w:left="566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A0590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590"/>
  </w:style>
  <w:style w:type="paragraph" w:styleId="Bunntekst">
    <w:name w:val="footer"/>
    <w:basedOn w:val="Normal"/>
    <w:link w:val="BunntekstTegn"/>
    <w:uiPriority w:val="99"/>
    <w:unhideWhenUsed/>
    <w:rsid w:val="003A0590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3A0590"/>
  </w:style>
  <w:style w:type="paragraph" w:customStyle="1" w:styleId="elementtoproof">
    <w:name w:val="elementtoproof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F3A696FAE7F4B94705CCE99B73A51" ma:contentTypeVersion="10" ma:contentTypeDescription="Create a new document." ma:contentTypeScope="" ma:versionID="36c53432322957c7505a7568d82193ca">
  <xsd:schema xmlns:xsd="http://www.w3.org/2001/XMLSchema" xmlns:xs="http://www.w3.org/2001/XMLSchema" xmlns:p="http://schemas.microsoft.com/office/2006/metadata/properties" xmlns:ns3="83f24436-4728-48e5-b531-cbadd6a1b096" xmlns:ns4="63311c60-b543-443f-933d-bb9609fb902a" targetNamespace="http://schemas.microsoft.com/office/2006/metadata/properties" ma:root="true" ma:fieldsID="d7fa943b2c9502fcd2d9479c9ebf2fbd" ns3:_="" ns4:_="">
    <xsd:import namespace="83f24436-4728-48e5-b531-cbadd6a1b096"/>
    <xsd:import namespace="63311c60-b543-443f-933d-bb9609fb90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4436-4728-48e5-b531-cbadd6a1b0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11c60-b543-443f-933d-bb9609fb9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7A431-F854-45C0-849C-03AE9E586A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CA8D62-3D16-44F6-BD1F-2A5DF2A900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68A613-28A4-4A38-9BFE-118BDE111B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B3709D-B445-4B7D-A6D5-CE6532331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24436-4728-48e5-b531-cbadd6a1b096"/>
    <ds:schemaRef ds:uri="63311c60-b543-443f-933d-bb9609fb9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3412</Characters>
  <Application>Microsoft Office Word</Application>
  <DocSecurity>4</DocSecurity>
  <Lines>117</Lines>
  <Paragraphs>72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2023-11-28T16:46:00Z</dcterms:created>
  <dcterms:modified xsi:type="dcterms:W3CDTF">2023-11-28T16:46:00Z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0x0101005E2F3A696FAE7F4B94705CCE99B73A51</vt:lpwstr>
  </property>
  <property fmtid="{D5CDD505-2E9C-101B-9397-08002B2CF9AE}" pid="3" name="MSIP_Label_6c1ddb62-140e-4097-8af8-4e371778cdd7_ActionId">
    <vt:lpwstr>59f67481-5c55-4a22-8abf-54227db255fb</vt:lpwstr>
  </property>
  <property fmtid="{D5CDD505-2E9C-101B-9397-08002B2CF9AE}" pid="4" name="MSIP_Label_6c1ddb62-140e-4097-8af8-4e371778cdd7_Application">
    <vt:lpwstr>Microsoft Azure Information Protection</vt:lpwstr>
  </property>
  <property fmtid="{D5CDD505-2E9C-101B-9397-08002B2CF9AE}" pid="5" name="MSIP_Label_6c1ddb62-140e-4097-8af8-4e371778cdd7_Enabled">
    <vt:lpwstr>True</vt:lpwstr>
  </property>
  <property fmtid="{D5CDD505-2E9C-101B-9397-08002B2CF9AE}" pid="6" name="MSIP_Label_6c1ddb62-140e-4097-8af8-4e371778cdd7_Extended_MSFT_Method">
    <vt:lpwstr>Manual</vt:lpwstr>
  </property>
  <property fmtid="{D5CDD505-2E9C-101B-9397-08002B2CF9AE}" pid="7" name="MSIP_Label_6c1ddb62-140e-4097-8af8-4e371778cdd7_Name">
    <vt:lpwstr>Public</vt:lpwstr>
  </property>
  <property fmtid="{D5CDD505-2E9C-101B-9397-08002B2CF9AE}" pid="8" name="MSIP_Label_6c1ddb62-140e-4097-8af8-4e371778cdd7_Owner">
    <vt:lpwstr>stian.eggen@evry.com</vt:lpwstr>
  </property>
  <property fmtid="{D5CDD505-2E9C-101B-9397-08002B2CF9AE}" pid="9" name="MSIP_Label_6c1ddb62-140e-4097-8af8-4e371778cdd7_SetDate">
    <vt:lpwstr>2019-10-21T09:24:07.0104399Z</vt:lpwstr>
  </property>
  <property fmtid="{D5CDD505-2E9C-101B-9397-08002B2CF9AE}" pid="10" name="MSIP_Label_6c1ddb62-140e-4097-8af8-4e371778cdd7_SiteId">
    <vt:lpwstr>40cc2915-e283-4a27-9471-6bdd7ca4c6e1</vt:lpwstr>
  </property>
  <property fmtid="{D5CDD505-2E9C-101B-9397-08002B2CF9AE}" pid="11" name="Sensitivity">
    <vt:lpwstr>Public</vt:lpwstr>
  </property>
</Properties>
</file>